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59E19" w14:textId="27A175EA" w:rsidR="009B00EB" w:rsidRPr="009B00EB" w:rsidRDefault="009B00EB" w:rsidP="003D51C0">
      <w:pPr>
        <w:spacing w:after="0" w:line="240" w:lineRule="auto"/>
        <w:ind w:left="2832"/>
        <w:rPr>
          <w:rFonts w:ascii="Times New Roman" w:eastAsia="Times New Roman" w:hAnsi="Times New Roman" w:cs="Times New Roman"/>
          <w:b/>
          <w:sz w:val="24"/>
          <w:szCs w:val="24"/>
          <w:lang w:eastAsia="bg-BG"/>
        </w:rPr>
      </w:pPr>
      <w:r w:rsidRPr="009B00EB">
        <w:rPr>
          <w:rFonts w:ascii="Times New Roman" w:eastAsia="Times New Roman" w:hAnsi="Times New Roman" w:cs="Times New Roman"/>
          <w:b/>
          <w:sz w:val="24"/>
          <w:szCs w:val="24"/>
          <w:lang w:eastAsia="bg-BG"/>
        </w:rPr>
        <w:t>ДО</w:t>
      </w:r>
    </w:p>
    <w:p w14:paraId="53AECF31" w14:textId="77777777" w:rsidR="009B00EB" w:rsidRPr="009B00EB" w:rsidRDefault="009B00EB" w:rsidP="003D51C0">
      <w:pPr>
        <w:spacing w:after="0" w:line="240" w:lineRule="auto"/>
        <w:ind w:left="2832"/>
        <w:rPr>
          <w:rFonts w:ascii="Times New Roman" w:eastAsia="Times New Roman" w:hAnsi="Times New Roman" w:cs="Times New Roman"/>
          <w:b/>
          <w:sz w:val="24"/>
          <w:szCs w:val="24"/>
          <w:lang w:eastAsia="bg-BG"/>
        </w:rPr>
      </w:pPr>
      <w:r w:rsidRPr="009B00EB">
        <w:rPr>
          <w:rFonts w:ascii="Times New Roman" w:eastAsia="Times New Roman" w:hAnsi="Times New Roman" w:cs="Times New Roman"/>
          <w:b/>
          <w:sz w:val="24"/>
          <w:szCs w:val="24"/>
          <w:lang w:eastAsia="bg-BG"/>
        </w:rPr>
        <w:t>ПРЕДСЕДАТЕЛЯ НА</w:t>
      </w:r>
    </w:p>
    <w:p w14:paraId="744F67C9" w14:textId="77777777" w:rsidR="009B00EB" w:rsidRPr="009B00EB" w:rsidRDefault="009B00EB" w:rsidP="003D51C0">
      <w:pPr>
        <w:spacing w:after="0" w:line="240" w:lineRule="auto"/>
        <w:ind w:left="2832"/>
        <w:rPr>
          <w:rFonts w:ascii="Times New Roman" w:eastAsia="Times New Roman" w:hAnsi="Times New Roman" w:cs="Times New Roman"/>
          <w:b/>
          <w:sz w:val="24"/>
          <w:szCs w:val="24"/>
          <w:lang w:eastAsia="bg-BG"/>
        </w:rPr>
      </w:pPr>
      <w:r w:rsidRPr="009B00EB">
        <w:rPr>
          <w:rFonts w:ascii="Times New Roman" w:eastAsia="Times New Roman" w:hAnsi="Times New Roman" w:cs="Times New Roman"/>
          <w:b/>
          <w:sz w:val="24"/>
          <w:szCs w:val="24"/>
          <w:lang w:eastAsia="bg-BG"/>
        </w:rPr>
        <w:t>КОМИСИЯ</w:t>
      </w:r>
    </w:p>
    <w:p w14:paraId="254D73D2" w14:textId="77777777" w:rsidR="009B00EB" w:rsidRPr="009B00EB" w:rsidRDefault="009B00EB" w:rsidP="003D51C0">
      <w:pPr>
        <w:spacing w:after="0" w:line="240" w:lineRule="auto"/>
        <w:ind w:left="2832"/>
        <w:rPr>
          <w:rFonts w:ascii="Times New Roman" w:eastAsia="Times New Roman" w:hAnsi="Times New Roman" w:cs="Times New Roman"/>
          <w:b/>
          <w:sz w:val="24"/>
          <w:szCs w:val="24"/>
          <w:lang w:eastAsia="bg-BG"/>
        </w:rPr>
      </w:pPr>
      <w:r w:rsidRPr="009B00EB">
        <w:rPr>
          <w:rFonts w:ascii="Times New Roman" w:eastAsia="Times New Roman" w:hAnsi="Times New Roman" w:cs="Times New Roman"/>
          <w:b/>
          <w:sz w:val="24"/>
          <w:szCs w:val="24"/>
          <w:lang w:eastAsia="bg-BG"/>
        </w:rPr>
        <w:t>ЗА ЕНЕРГИЙНО И ВОДНО РЕГУЛИРАНЕ</w:t>
      </w:r>
    </w:p>
    <w:p w14:paraId="2761050D" w14:textId="77777777" w:rsidR="009B00EB" w:rsidRPr="009B00EB" w:rsidRDefault="009B00EB" w:rsidP="003D51C0">
      <w:pPr>
        <w:spacing w:after="0" w:line="240" w:lineRule="auto"/>
        <w:ind w:left="2832"/>
        <w:rPr>
          <w:rFonts w:ascii="Times New Roman" w:eastAsia="Times New Roman" w:hAnsi="Times New Roman" w:cs="Times New Roman"/>
          <w:b/>
          <w:sz w:val="24"/>
          <w:szCs w:val="24"/>
          <w:lang w:eastAsia="bg-BG"/>
        </w:rPr>
      </w:pPr>
    </w:p>
    <w:p w14:paraId="500B7B52" w14:textId="2DC990A3" w:rsidR="009B00EB" w:rsidRPr="00CC4BA0" w:rsidRDefault="009B00EB" w:rsidP="003D51C0">
      <w:pPr>
        <w:spacing w:after="0" w:line="240" w:lineRule="auto"/>
        <w:ind w:left="2832"/>
        <w:rPr>
          <w:rFonts w:ascii="Times New Roman" w:eastAsia="Times New Roman" w:hAnsi="Times New Roman" w:cs="Times New Roman"/>
          <w:b/>
          <w:sz w:val="24"/>
          <w:szCs w:val="24"/>
          <w:lang w:eastAsia="bg-BG"/>
        </w:rPr>
      </w:pPr>
      <w:r w:rsidRPr="00CC4BA0">
        <w:rPr>
          <w:rFonts w:ascii="Times New Roman" w:eastAsia="Times New Roman" w:hAnsi="Times New Roman" w:cs="Times New Roman"/>
          <w:b/>
          <w:sz w:val="24"/>
          <w:szCs w:val="24"/>
          <w:lang w:eastAsia="bg-BG"/>
        </w:rPr>
        <w:t>ТЕХНИЧЕСКА И ФИНАНСОВА ОБОСНОВКА КЪМ ЗАЯВЛЕНИЕ ЗА УТВЪРЖДАВА</w:t>
      </w:r>
      <w:r w:rsidR="00712AD1" w:rsidRPr="00CC4BA0">
        <w:rPr>
          <w:rFonts w:ascii="Times New Roman" w:eastAsia="Times New Roman" w:hAnsi="Times New Roman" w:cs="Times New Roman"/>
          <w:b/>
          <w:sz w:val="24"/>
          <w:szCs w:val="24"/>
          <w:lang w:eastAsia="bg-BG"/>
        </w:rPr>
        <w:t xml:space="preserve">НЕ НА ЦЕНИ ЗА ПЕРИОДА </w:t>
      </w:r>
      <w:r w:rsidR="00712AD1" w:rsidRPr="002A06AC">
        <w:rPr>
          <w:rFonts w:ascii="Times New Roman" w:eastAsia="Times New Roman" w:hAnsi="Times New Roman" w:cs="Times New Roman"/>
          <w:b/>
          <w:sz w:val="24"/>
          <w:szCs w:val="24"/>
          <w:lang w:eastAsia="bg-BG"/>
        </w:rPr>
        <w:t>01.07.</w:t>
      </w:r>
      <w:r w:rsidR="00294354" w:rsidRPr="002A06AC">
        <w:rPr>
          <w:rFonts w:ascii="Times New Roman" w:eastAsia="Times New Roman" w:hAnsi="Times New Roman" w:cs="Times New Roman"/>
          <w:b/>
          <w:sz w:val="24"/>
          <w:szCs w:val="24"/>
          <w:lang w:eastAsia="bg-BG"/>
        </w:rPr>
        <w:t>202</w:t>
      </w:r>
      <w:r w:rsidR="00D237CC">
        <w:rPr>
          <w:rFonts w:ascii="Times New Roman" w:eastAsia="Times New Roman" w:hAnsi="Times New Roman" w:cs="Times New Roman"/>
          <w:b/>
          <w:sz w:val="24"/>
          <w:szCs w:val="24"/>
          <w:lang w:eastAsia="bg-BG"/>
        </w:rPr>
        <w:t>5</w:t>
      </w:r>
      <w:r w:rsidR="00294354" w:rsidRPr="002A06AC">
        <w:rPr>
          <w:rFonts w:ascii="Times New Roman" w:eastAsia="Times New Roman" w:hAnsi="Times New Roman" w:cs="Times New Roman"/>
          <w:b/>
          <w:sz w:val="24"/>
          <w:szCs w:val="24"/>
          <w:lang w:eastAsia="bg-BG"/>
        </w:rPr>
        <w:t xml:space="preserve"> </w:t>
      </w:r>
      <w:r w:rsidRPr="002A06AC">
        <w:rPr>
          <w:rFonts w:ascii="Times New Roman" w:eastAsia="Times New Roman" w:hAnsi="Times New Roman" w:cs="Times New Roman"/>
          <w:b/>
          <w:sz w:val="24"/>
          <w:szCs w:val="24"/>
          <w:lang w:eastAsia="bg-BG"/>
        </w:rPr>
        <w:t>- 30.06.</w:t>
      </w:r>
      <w:r w:rsidR="00294354" w:rsidRPr="002A06AC">
        <w:rPr>
          <w:rFonts w:ascii="Times New Roman" w:eastAsia="Times New Roman" w:hAnsi="Times New Roman" w:cs="Times New Roman"/>
          <w:b/>
          <w:sz w:val="24"/>
          <w:szCs w:val="24"/>
          <w:lang w:eastAsia="bg-BG"/>
        </w:rPr>
        <w:t>202</w:t>
      </w:r>
      <w:r w:rsidR="00D237CC">
        <w:rPr>
          <w:rFonts w:ascii="Times New Roman" w:eastAsia="Times New Roman" w:hAnsi="Times New Roman" w:cs="Times New Roman"/>
          <w:b/>
          <w:sz w:val="24"/>
          <w:szCs w:val="24"/>
          <w:lang w:eastAsia="bg-BG"/>
        </w:rPr>
        <w:t>6</w:t>
      </w:r>
      <w:r w:rsidR="00294354" w:rsidRPr="002A06AC">
        <w:rPr>
          <w:rFonts w:ascii="Times New Roman" w:eastAsia="Times New Roman" w:hAnsi="Times New Roman" w:cs="Times New Roman"/>
          <w:b/>
          <w:sz w:val="24"/>
          <w:szCs w:val="24"/>
          <w:lang w:eastAsia="bg-BG"/>
        </w:rPr>
        <w:t xml:space="preserve"> </w:t>
      </w:r>
      <w:r w:rsidRPr="002A06AC">
        <w:rPr>
          <w:rFonts w:ascii="Times New Roman" w:eastAsia="Times New Roman" w:hAnsi="Times New Roman" w:cs="Times New Roman"/>
          <w:b/>
          <w:sz w:val="24"/>
          <w:szCs w:val="24"/>
          <w:lang w:eastAsia="bg-BG"/>
        </w:rPr>
        <w:t>г.,</w:t>
      </w:r>
      <w:r w:rsidRPr="00CC4BA0">
        <w:rPr>
          <w:rFonts w:ascii="Times New Roman" w:eastAsia="Times New Roman" w:hAnsi="Times New Roman" w:cs="Times New Roman"/>
          <w:b/>
          <w:sz w:val="24"/>
          <w:szCs w:val="24"/>
          <w:lang w:eastAsia="bg-BG"/>
        </w:rPr>
        <w:t xml:space="preserve"> </w:t>
      </w:r>
    </w:p>
    <w:p w14:paraId="6386CA16" w14:textId="77777777" w:rsidR="009B00EB" w:rsidRPr="00CC4BA0" w:rsidRDefault="009B00EB" w:rsidP="003D51C0">
      <w:pPr>
        <w:spacing w:after="0" w:line="240" w:lineRule="auto"/>
        <w:ind w:left="2832"/>
        <w:rPr>
          <w:rFonts w:ascii="Times New Roman" w:eastAsia="Times New Roman" w:hAnsi="Times New Roman" w:cs="Times New Roman"/>
          <w:b/>
          <w:sz w:val="24"/>
          <w:szCs w:val="24"/>
          <w:lang w:eastAsia="bg-BG"/>
        </w:rPr>
      </w:pPr>
    </w:p>
    <w:p w14:paraId="33F4A2C0" w14:textId="77777777" w:rsidR="009B00EB" w:rsidRPr="00CC4BA0" w:rsidRDefault="009B00EB" w:rsidP="003D51C0">
      <w:pPr>
        <w:spacing w:after="0" w:line="240" w:lineRule="auto"/>
        <w:ind w:left="2832"/>
        <w:rPr>
          <w:rFonts w:ascii="Times New Roman" w:eastAsia="Times New Roman" w:hAnsi="Times New Roman" w:cs="Times New Roman"/>
          <w:sz w:val="24"/>
          <w:szCs w:val="24"/>
          <w:lang w:eastAsia="bg-BG"/>
        </w:rPr>
      </w:pPr>
    </w:p>
    <w:p w14:paraId="4B1469A1" w14:textId="25CB3086" w:rsidR="009B00EB" w:rsidRPr="00CC4BA0" w:rsidRDefault="009B00EB" w:rsidP="003D51C0">
      <w:pPr>
        <w:spacing w:after="0" w:line="240" w:lineRule="auto"/>
        <w:ind w:left="2832"/>
        <w:rPr>
          <w:rFonts w:ascii="Times New Roman" w:eastAsia="Times New Roman" w:hAnsi="Times New Roman" w:cs="Times New Roman"/>
          <w:sz w:val="24"/>
          <w:szCs w:val="24"/>
          <w:lang w:eastAsia="bg-BG"/>
        </w:rPr>
      </w:pPr>
      <w:r w:rsidRPr="00CC4BA0">
        <w:rPr>
          <w:rFonts w:ascii="Times New Roman" w:eastAsia="Times New Roman" w:hAnsi="Times New Roman" w:cs="Times New Roman"/>
          <w:sz w:val="24"/>
          <w:szCs w:val="24"/>
          <w:lang w:eastAsia="bg-BG"/>
        </w:rPr>
        <w:t xml:space="preserve">от </w:t>
      </w:r>
      <w:r w:rsidR="002C415C" w:rsidRPr="00CC4BA0">
        <w:rPr>
          <w:rFonts w:ascii="Times New Roman" w:eastAsia="Times New Roman" w:hAnsi="Times New Roman" w:cs="Times New Roman"/>
          <w:sz w:val="24"/>
          <w:szCs w:val="24"/>
          <w:lang w:eastAsia="bg-BG"/>
        </w:rPr>
        <w:t>„</w:t>
      </w:r>
      <w:r w:rsidRPr="00CC4BA0">
        <w:rPr>
          <w:rFonts w:ascii="Times New Roman" w:eastAsia="Times New Roman" w:hAnsi="Times New Roman" w:cs="Times New Roman"/>
          <w:sz w:val="24"/>
          <w:szCs w:val="24"/>
          <w:lang w:eastAsia="bg-BG"/>
        </w:rPr>
        <w:t>ТЕЦ Марица изток 2” ЕАД</w:t>
      </w:r>
    </w:p>
    <w:p w14:paraId="69252312" w14:textId="77777777" w:rsidR="009B00EB" w:rsidRPr="00CC4BA0" w:rsidRDefault="009B00EB" w:rsidP="003D51C0">
      <w:pPr>
        <w:spacing w:after="0" w:line="240" w:lineRule="auto"/>
        <w:ind w:left="2832"/>
        <w:rPr>
          <w:rFonts w:ascii="Times New Roman" w:eastAsia="Times New Roman" w:hAnsi="Times New Roman" w:cs="Times New Roman"/>
          <w:sz w:val="24"/>
          <w:szCs w:val="24"/>
          <w:lang w:eastAsia="bg-BG"/>
        </w:rPr>
      </w:pPr>
      <w:r w:rsidRPr="00CC4BA0">
        <w:rPr>
          <w:rFonts w:ascii="Times New Roman" w:eastAsia="Times New Roman" w:hAnsi="Times New Roman" w:cs="Times New Roman"/>
          <w:sz w:val="24"/>
          <w:szCs w:val="24"/>
          <w:lang w:eastAsia="bg-BG"/>
        </w:rPr>
        <w:t>със седалище и адрес:</w:t>
      </w:r>
    </w:p>
    <w:p w14:paraId="50BF64B8" w14:textId="77777777" w:rsidR="009B00EB" w:rsidRPr="00CC4BA0" w:rsidRDefault="009B00EB" w:rsidP="003D51C0">
      <w:pPr>
        <w:spacing w:after="0" w:line="240" w:lineRule="auto"/>
        <w:ind w:left="2832"/>
        <w:rPr>
          <w:rFonts w:ascii="Times New Roman" w:eastAsia="Times New Roman" w:hAnsi="Times New Roman" w:cs="Times New Roman"/>
          <w:sz w:val="24"/>
          <w:szCs w:val="24"/>
          <w:lang w:eastAsia="bg-BG"/>
        </w:rPr>
      </w:pPr>
      <w:r w:rsidRPr="00CC4BA0">
        <w:rPr>
          <w:rFonts w:ascii="Times New Roman" w:eastAsia="Times New Roman" w:hAnsi="Times New Roman" w:cs="Times New Roman"/>
          <w:sz w:val="24"/>
          <w:szCs w:val="24"/>
          <w:lang w:eastAsia="bg-BG"/>
        </w:rPr>
        <w:t>село Ковачево, п.код 6265, община Раднево,</w:t>
      </w:r>
    </w:p>
    <w:p w14:paraId="5987D85C" w14:textId="422225EF" w:rsidR="009B00EB" w:rsidRPr="00CC4BA0" w:rsidRDefault="009B00EB" w:rsidP="003D51C0">
      <w:pPr>
        <w:spacing w:after="0" w:line="240" w:lineRule="auto"/>
        <w:ind w:left="2832"/>
        <w:rPr>
          <w:rFonts w:ascii="Times New Roman" w:eastAsia="Times New Roman" w:hAnsi="Times New Roman" w:cs="Times New Roman"/>
          <w:sz w:val="24"/>
          <w:szCs w:val="24"/>
          <w:lang w:eastAsia="bg-BG"/>
        </w:rPr>
      </w:pPr>
      <w:r w:rsidRPr="00CC4BA0">
        <w:rPr>
          <w:rFonts w:ascii="Times New Roman" w:eastAsia="Times New Roman" w:hAnsi="Times New Roman" w:cs="Times New Roman"/>
          <w:sz w:val="24"/>
          <w:szCs w:val="24"/>
          <w:lang w:eastAsia="bg-BG"/>
        </w:rPr>
        <w:t>област Стара Загора</w:t>
      </w:r>
    </w:p>
    <w:p w14:paraId="4B842261" w14:textId="77777777" w:rsidR="009B00EB" w:rsidRPr="00CC4BA0" w:rsidRDefault="009B00EB" w:rsidP="003D51C0">
      <w:pPr>
        <w:spacing w:after="0" w:line="240" w:lineRule="auto"/>
        <w:ind w:left="2832"/>
        <w:rPr>
          <w:rFonts w:ascii="Times New Roman" w:eastAsia="Times New Roman" w:hAnsi="Times New Roman" w:cs="Times New Roman"/>
          <w:sz w:val="24"/>
          <w:szCs w:val="24"/>
          <w:lang w:eastAsia="bg-BG"/>
        </w:rPr>
      </w:pPr>
      <w:r w:rsidRPr="00CC4BA0">
        <w:rPr>
          <w:rFonts w:ascii="Times New Roman" w:eastAsia="Times New Roman" w:hAnsi="Times New Roman" w:cs="Times New Roman"/>
          <w:sz w:val="24"/>
          <w:szCs w:val="24"/>
          <w:lang w:eastAsia="bg-BG"/>
        </w:rPr>
        <w:t>Фирмено дело № 1338/ 2000 година</w:t>
      </w:r>
    </w:p>
    <w:p w14:paraId="2727BEBA" w14:textId="77777777" w:rsidR="009B00EB" w:rsidRPr="00CC4BA0" w:rsidRDefault="009B00EB" w:rsidP="003D51C0">
      <w:pPr>
        <w:spacing w:after="0" w:line="240" w:lineRule="auto"/>
        <w:ind w:left="2832"/>
        <w:rPr>
          <w:rFonts w:ascii="Times New Roman" w:eastAsia="Times New Roman" w:hAnsi="Times New Roman" w:cs="Times New Roman"/>
          <w:sz w:val="24"/>
          <w:szCs w:val="24"/>
          <w:lang w:eastAsia="bg-BG"/>
        </w:rPr>
      </w:pPr>
      <w:r w:rsidRPr="00CC4BA0">
        <w:rPr>
          <w:rFonts w:ascii="Times New Roman" w:eastAsia="Times New Roman" w:hAnsi="Times New Roman" w:cs="Times New Roman"/>
          <w:sz w:val="24"/>
          <w:szCs w:val="24"/>
          <w:lang w:eastAsia="bg-BG"/>
        </w:rPr>
        <w:t>по описа на Старозагорски окръжен съд</w:t>
      </w:r>
    </w:p>
    <w:p w14:paraId="3ACCB718" w14:textId="77777777" w:rsidR="009B00EB" w:rsidRPr="00CC4BA0" w:rsidRDefault="009B00EB" w:rsidP="003D51C0">
      <w:pPr>
        <w:spacing w:after="0" w:line="240" w:lineRule="auto"/>
        <w:ind w:left="2832"/>
        <w:rPr>
          <w:rFonts w:ascii="Times New Roman" w:eastAsia="Times New Roman" w:hAnsi="Times New Roman" w:cs="Times New Roman"/>
          <w:sz w:val="24"/>
          <w:szCs w:val="24"/>
          <w:lang w:eastAsia="bg-BG"/>
        </w:rPr>
      </w:pPr>
      <w:r w:rsidRPr="00CC4BA0">
        <w:rPr>
          <w:rFonts w:ascii="Times New Roman" w:eastAsia="Times New Roman" w:hAnsi="Times New Roman" w:cs="Times New Roman"/>
          <w:sz w:val="24"/>
          <w:szCs w:val="24"/>
          <w:lang w:eastAsia="bg-BG"/>
        </w:rPr>
        <w:t>ЕИК  123531939</w:t>
      </w:r>
    </w:p>
    <w:p w14:paraId="5A98DF2C" w14:textId="523F83AF" w:rsidR="009B00EB" w:rsidRPr="00CC4BA0" w:rsidRDefault="002E4B29" w:rsidP="003D51C0">
      <w:pPr>
        <w:spacing w:after="0" w:line="240" w:lineRule="auto"/>
        <w:ind w:left="2832"/>
        <w:rPr>
          <w:rFonts w:ascii="Times New Roman" w:eastAsia="Times New Roman" w:hAnsi="Times New Roman" w:cs="Times New Roman"/>
          <w:sz w:val="24"/>
          <w:szCs w:val="24"/>
          <w:lang w:eastAsia="bg-BG"/>
        </w:rPr>
      </w:pPr>
      <w:r w:rsidRPr="00CC4BA0">
        <w:rPr>
          <w:rFonts w:ascii="Times New Roman" w:eastAsia="Times New Roman" w:hAnsi="Times New Roman" w:cs="Times New Roman"/>
          <w:sz w:val="24"/>
          <w:szCs w:val="24"/>
          <w:lang w:val="en-US" w:eastAsia="bg-BG"/>
        </w:rPr>
        <w:t>IBAN</w:t>
      </w:r>
      <w:r w:rsidRPr="00CC4BA0">
        <w:rPr>
          <w:rFonts w:ascii="Times New Roman" w:eastAsia="Times New Roman" w:hAnsi="Times New Roman" w:cs="Times New Roman"/>
          <w:sz w:val="24"/>
          <w:szCs w:val="24"/>
          <w:lang w:eastAsia="bg-BG"/>
        </w:rPr>
        <w:t xml:space="preserve"> </w:t>
      </w:r>
      <w:r w:rsidRPr="00CC4BA0">
        <w:rPr>
          <w:rFonts w:ascii="Times New Roman" w:eastAsia="Times New Roman" w:hAnsi="Times New Roman" w:cs="Times New Roman"/>
          <w:sz w:val="24"/>
          <w:szCs w:val="24"/>
          <w:lang w:val="en-US" w:eastAsia="bg-BG"/>
        </w:rPr>
        <w:t>BGN</w:t>
      </w:r>
      <w:r w:rsidRPr="00CC4BA0">
        <w:rPr>
          <w:rFonts w:ascii="Times New Roman" w:eastAsia="Times New Roman" w:hAnsi="Times New Roman" w:cs="Times New Roman"/>
          <w:sz w:val="24"/>
          <w:szCs w:val="24"/>
          <w:lang w:eastAsia="bg-BG"/>
        </w:rPr>
        <w:t>:</w:t>
      </w:r>
      <w:r w:rsidR="00EF6EED">
        <w:rPr>
          <w:rFonts w:ascii="Times New Roman" w:eastAsia="Times New Roman" w:hAnsi="Times New Roman" w:cs="Times New Roman"/>
          <w:sz w:val="24"/>
          <w:szCs w:val="24"/>
          <w:lang w:val="en-US" w:eastAsia="bg-BG"/>
        </w:rPr>
        <w:t xml:space="preserve"> </w:t>
      </w:r>
      <w:r w:rsidR="00EF6EED">
        <w:rPr>
          <w:rFonts w:ascii="Times New Roman" w:eastAsia="Times New Roman" w:hAnsi="Times New Roman" w:cs="Times New Roman"/>
          <w:sz w:val="24"/>
          <w:szCs w:val="24"/>
          <w:lang w:eastAsia="bg-BG"/>
        </w:rPr>
        <w:t>………………………</w:t>
      </w:r>
      <w:proofErr w:type="gramStart"/>
      <w:r w:rsidR="00EF6EED">
        <w:rPr>
          <w:rFonts w:ascii="Times New Roman" w:eastAsia="Times New Roman" w:hAnsi="Times New Roman" w:cs="Times New Roman"/>
          <w:sz w:val="24"/>
          <w:szCs w:val="24"/>
          <w:lang w:eastAsia="bg-BG"/>
        </w:rPr>
        <w:t>.</w:t>
      </w:r>
      <w:r w:rsidR="002C415C" w:rsidRPr="00CC4BA0">
        <w:rPr>
          <w:rFonts w:ascii="Times New Roman" w:eastAsia="Times New Roman" w:hAnsi="Times New Roman" w:cs="Times New Roman"/>
          <w:sz w:val="24"/>
          <w:szCs w:val="24"/>
          <w:lang w:eastAsia="bg-BG"/>
        </w:rPr>
        <w:t>;</w:t>
      </w:r>
      <w:r w:rsidR="009B00EB" w:rsidRPr="00CC4BA0">
        <w:rPr>
          <w:rFonts w:ascii="Times New Roman" w:eastAsia="Times New Roman" w:hAnsi="Times New Roman" w:cs="Times New Roman"/>
          <w:sz w:val="24"/>
          <w:szCs w:val="24"/>
          <w:lang w:eastAsia="bg-BG"/>
        </w:rPr>
        <w:t xml:space="preserve">   </w:t>
      </w:r>
      <w:proofErr w:type="gramEnd"/>
      <w:r w:rsidR="009B00EB" w:rsidRPr="00CC4BA0">
        <w:rPr>
          <w:rFonts w:ascii="Times New Roman" w:eastAsia="Times New Roman" w:hAnsi="Times New Roman" w:cs="Times New Roman"/>
          <w:sz w:val="24"/>
          <w:szCs w:val="24"/>
          <w:lang w:val="en-US" w:eastAsia="bg-BG"/>
        </w:rPr>
        <w:t>BIC</w:t>
      </w:r>
      <w:r w:rsidR="009B00EB" w:rsidRPr="00CC4BA0">
        <w:rPr>
          <w:rFonts w:ascii="Times New Roman" w:eastAsia="Times New Roman" w:hAnsi="Times New Roman" w:cs="Times New Roman"/>
          <w:sz w:val="24"/>
          <w:szCs w:val="24"/>
          <w:lang w:eastAsia="bg-BG"/>
        </w:rPr>
        <w:t xml:space="preserve">: </w:t>
      </w:r>
      <w:r w:rsidR="00B605B9">
        <w:rPr>
          <w:rFonts w:ascii="Times New Roman" w:eastAsia="Times New Roman" w:hAnsi="Times New Roman" w:cs="Times New Roman"/>
          <w:sz w:val="24"/>
          <w:szCs w:val="24"/>
          <w:lang w:eastAsia="bg-BG"/>
        </w:rPr>
        <w:t>………………</w:t>
      </w:r>
    </w:p>
    <w:p w14:paraId="35B67174" w14:textId="78C85918" w:rsidR="009B00EB" w:rsidRPr="00CC4BA0" w:rsidRDefault="009B00EB" w:rsidP="003D51C0">
      <w:pPr>
        <w:spacing w:after="0" w:line="240" w:lineRule="auto"/>
        <w:ind w:left="2832"/>
        <w:rPr>
          <w:rFonts w:ascii="Times New Roman" w:eastAsia="Times New Roman" w:hAnsi="Times New Roman" w:cs="Times New Roman"/>
          <w:sz w:val="24"/>
          <w:szCs w:val="24"/>
          <w:lang w:eastAsia="bg-BG"/>
        </w:rPr>
      </w:pPr>
      <w:r w:rsidRPr="00CC4BA0">
        <w:rPr>
          <w:rFonts w:ascii="Times New Roman" w:eastAsia="Times New Roman" w:hAnsi="Times New Roman" w:cs="Times New Roman"/>
          <w:sz w:val="24"/>
          <w:szCs w:val="24"/>
          <w:lang w:eastAsia="bg-BG"/>
        </w:rPr>
        <w:t xml:space="preserve">при </w:t>
      </w:r>
      <w:r w:rsidR="00B605B9">
        <w:rPr>
          <w:rFonts w:ascii="Times New Roman" w:eastAsia="Times New Roman" w:hAnsi="Times New Roman" w:cs="Times New Roman"/>
          <w:sz w:val="24"/>
          <w:szCs w:val="24"/>
          <w:lang w:eastAsia="bg-BG"/>
        </w:rPr>
        <w:t>…………………………………………….</w:t>
      </w:r>
    </w:p>
    <w:p w14:paraId="332B3A25" w14:textId="2F2343E6" w:rsidR="009B00EB" w:rsidRPr="00CC4BA0" w:rsidRDefault="009B00EB" w:rsidP="003D51C0">
      <w:pPr>
        <w:spacing w:after="0" w:line="240" w:lineRule="auto"/>
        <w:ind w:left="2832"/>
        <w:rPr>
          <w:rFonts w:ascii="Times New Roman" w:eastAsia="Times New Roman" w:hAnsi="Times New Roman" w:cs="Times New Roman"/>
          <w:sz w:val="24"/>
          <w:szCs w:val="24"/>
          <w:lang w:eastAsia="bg-BG"/>
        </w:rPr>
      </w:pPr>
      <w:r w:rsidRPr="00CC4BA0">
        <w:rPr>
          <w:rFonts w:ascii="Times New Roman" w:eastAsia="Times New Roman" w:hAnsi="Times New Roman" w:cs="Times New Roman"/>
          <w:sz w:val="24"/>
          <w:szCs w:val="24"/>
          <w:lang w:eastAsia="bg-BG"/>
        </w:rPr>
        <w:t xml:space="preserve">телефон: </w:t>
      </w:r>
      <w:r w:rsidR="00B605B9">
        <w:rPr>
          <w:rFonts w:ascii="Times New Roman" w:eastAsia="Times New Roman" w:hAnsi="Times New Roman" w:cs="Times New Roman"/>
          <w:sz w:val="24"/>
          <w:szCs w:val="24"/>
          <w:lang w:eastAsia="bg-BG"/>
        </w:rPr>
        <w:t>………………</w:t>
      </w:r>
      <w:r w:rsidRPr="00CC4BA0">
        <w:rPr>
          <w:rFonts w:ascii="Times New Roman" w:eastAsia="Times New Roman" w:hAnsi="Times New Roman" w:cs="Times New Roman"/>
          <w:sz w:val="24"/>
          <w:szCs w:val="24"/>
          <w:lang w:eastAsia="bg-BG"/>
        </w:rPr>
        <w:t xml:space="preserve"> факс: </w:t>
      </w:r>
      <w:r w:rsidR="00B605B9">
        <w:rPr>
          <w:rFonts w:ascii="Times New Roman" w:eastAsia="Times New Roman" w:hAnsi="Times New Roman" w:cs="Times New Roman"/>
          <w:sz w:val="24"/>
          <w:szCs w:val="24"/>
          <w:lang w:eastAsia="bg-BG"/>
        </w:rPr>
        <w:t>……………….</w:t>
      </w:r>
    </w:p>
    <w:p w14:paraId="1C627077" w14:textId="77777777" w:rsidR="009B00EB" w:rsidRPr="00CC4BA0" w:rsidRDefault="009B00EB" w:rsidP="003D51C0">
      <w:pPr>
        <w:spacing w:after="0" w:line="240" w:lineRule="auto"/>
        <w:ind w:left="2832"/>
        <w:rPr>
          <w:rFonts w:ascii="Times New Roman" w:eastAsia="Times New Roman" w:hAnsi="Times New Roman" w:cs="Times New Roman"/>
          <w:sz w:val="24"/>
          <w:szCs w:val="24"/>
          <w:lang w:eastAsia="bg-BG"/>
        </w:rPr>
      </w:pPr>
      <w:r w:rsidRPr="00CC4BA0">
        <w:rPr>
          <w:rFonts w:ascii="Times New Roman" w:eastAsia="Times New Roman" w:hAnsi="Times New Roman" w:cs="Times New Roman"/>
          <w:sz w:val="24"/>
          <w:szCs w:val="24"/>
          <w:lang w:val="en-US" w:eastAsia="bg-BG"/>
        </w:rPr>
        <w:t>e</w:t>
      </w:r>
      <w:r w:rsidRPr="00CC4BA0">
        <w:rPr>
          <w:rFonts w:ascii="Times New Roman" w:eastAsia="Times New Roman" w:hAnsi="Times New Roman" w:cs="Times New Roman"/>
          <w:sz w:val="24"/>
          <w:szCs w:val="24"/>
          <w:lang w:val="ru-RU" w:eastAsia="bg-BG"/>
        </w:rPr>
        <w:t>-</w:t>
      </w:r>
      <w:r w:rsidRPr="00CC4BA0">
        <w:rPr>
          <w:rFonts w:ascii="Times New Roman" w:eastAsia="Times New Roman" w:hAnsi="Times New Roman" w:cs="Times New Roman"/>
          <w:sz w:val="24"/>
          <w:szCs w:val="24"/>
          <w:lang w:val="en-US" w:eastAsia="bg-BG"/>
        </w:rPr>
        <w:t>mail</w:t>
      </w:r>
      <w:r w:rsidRPr="00CC4BA0">
        <w:rPr>
          <w:rFonts w:ascii="Times New Roman" w:eastAsia="Times New Roman" w:hAnsi="Times New Roman" w:cs="Times New Roman"/>
          <w:sz w:val="24"/>
          <w:szCs w:val="24"/>
          <w:lang w:val="ru-RU" w:eastAsia="bg-BG"/>
        </w:rPr>
        <w:t xml:space="preserve"> </w:t>
      </w:r>
      <w:hyperlink r:id="rId8" w:history="1">
        <w:r w:rsidRPr="00CC4BA0">
          <w:rPr>
            <w:rFonts w:ascii="Times New Roman" w:eastAsia="Times New Roman" w:hAnsi="Times New Roman" w:cs="Times New Roman"/>
            <w:color w:val="0000FF"/>
            <w:sz w:val="24"/>
            <w:szCs w:val="24"/>
            <w:u w:val="single"/>
            <w:lang w:val="en-US" w:eastAsia="bg-BG"/>
          </w:rPr>
          <w:t>tec</w:t>
        </w:r>
        <w:r w:rsidRPr="00CC4BA0">
          <w:rPr>
            <w:rFonts w:ascii="Times New Roman" w:eastAsia="Times New Roman" w:hAnsi="Times New Roman" w:cs="Times New Roman"/>
            <w:color w:val="0000FF"/>
            <w:sz w:val="24"/>
            <w:szCs w:val="24"/>
            <w:u w:val="single"/>
            <w:lang w:val="ru-RU" w:eastAsia="bg-BG"/>
          </w:rPr>
          <w:t>2@</w:t>
        </w:r>
        <w:r w:rsidRPr="00CC4BA0">
          <w:rPr>
            <w:rFonts w:ascii="Times New Roman" w:eastAsia="Times New Roman" w:hAnsi="Times New Roman" w:cs="Times New Roman"/>
            <w:color w:val="0000FF"/>
            <w:sz w:val="24"/>
            <w:szCs w:val="24"/>
            <w:u w:val="single"/>
            <w:lang w:val="en-US" w:eastAsia="bg-BG"/>
          </w:rPr>
          <w:t>tpp</w:t>
        </w:r>
        <w:r w:rsidRPr="00CC4BA0">
          <w:rPr>
            <w:rFonts w:ascii="Times New Roman" w:eastAsia="Times New Roman" w:hAnsi="Times New Roman" w:cs="Times New Roman"/>
            <w:color w:val="0000FF"/>
            <w:sz w:val="24"/>
            <w:szCs w:val="24"/>
            <w:u w:val="single"/>
            <w:lang w:val="ru-RU" w:eastAsia="bg-BG"/>
          </w:rPr>
          <w:t>2.</w:t>
        </w:r>
        <w:r w:rsidRPr="00CC4BA0">
          <w:rPr>
            <w:rFonts w:ascii="Times New Roman" w:eastAsia="Times New Roman" w:hAnsi="Times New Roman" w:cs="Times New Roman"/>
            <w:color w:val="0000FF"/>
            <w:sz w:val="24"/>
            <w:szCs w:val="24"/>
            <w:u w:val="single"/>
            <w:lang w:val="en-US" w:eastAsia="bg-BG"/>
          </w:rPr>
          <w:t>com</w:t>
        </w:r>
      </w:hyperlink>
    </w:p>
    <w:p w14:paraId="0781429A" w14:textId="77777777" w:rsidR="009B00EB" w:rsidRPr="00CC4BA0" w:rsidRDefault="009B00EB" w:rsidP="003D51C0">
      <w:pPr>
        <w:spacing w:after="0" w:line="240" w:lineRule="auto"/>
        <w:ind w:left="2832"/>
        <w:rPr>
          <w:rFonts w:ascii="Times New Roman" w:eastAsia="Times New Roman" w:hAnsi="Times New Roman" w:cs="Times New Roman"/>
          <w:sz w:val="24"/>
          <w:szCs w:val="24"/>
          <w:lang w:eastAsia="bg-BG"/>
        </w:rPr>
      </w:pPr>
      <w:r w:rsidRPr="00CC4BA0">
        <w:rPr>
          <w:rFonts w:ascii="Times New Roman" w:eastAsia="Times New Roman" w:hAnsi="Times New Roman" w:cs="Times New Roman"/>
          <w:sz w:val="24"/>
          <w:szCs w:val="24"/>
          <w:lang w:eastAsia="bg-BG"/>
        </w:rPr>
        <w:t>притежаващо лицензия № Л-091-01/21.02.2001 год.</w:t>
      </w:r>
    </w:p>
    <w:p w14:paraId="04E4B85C" w14:textId="77777777" w:rsidR="009B00EB" w:rsidRPr="00CC4BA0" w:rsidRDefault="009B00EB" w:rsidP="003D51C0">
      <w:pPr>
        <w:spacing w:after="0" w:line="240" w:lineRule="auto"/>
        <w:ind w:left="2832"/>
        <w:rPr>
          <w:rFonts w:ascii="Times New Roman" w:eastAsia="Times New Roman" w:hAnsi="Times New Roman" w:cs="Times New Roman"/>
          <w:sz w:val="24"/>
          <w:szCs w:val="24"/>
          <w:lang w:eastAsia="bg-BG"/>
        </w:rPr>
      </w:pPr>
      <w:r w:rsidRPr="00CC4BA0">
        <w:rPr>
          <w:rFonts w:ascii="Times New Roman" w:eastAsia="Times New Roman" w:hAnsi="Times New Roman" w:cs="Times New Roman"/>
          <w:sz w:val="24"/>
          <w:szCs w:val="24"/>
          <w:lang w:eastAsia="bg-BG"/>
        </w:rPr>
        <w:t xml:space="preserve">за производство на електрическа енергия </w:t>
      </w:r>
    </w:p>
    <w:p w14:paraId="55814D8E" w14:textId="03DF9C0B" w:rsidR="009B00EB" w:rsidRPr="00CC4BA0" w:rsidRDefault="009B00EB" w:rsidP="003D51C0">
      <w:pPr>
        <w:spacing w:after="0" w:line="240" w:lineRule="auto"/>
        <w:ind w:left="2832"/>
        <w:rPr>
          <w:rFonts w:ascii="Times New Roman" w:eastAsia="Times New Roman" w:hAnsi="Times New Roman" w:cs="Times New Roman"/>
          <w:sz w:val="24"/>
          <w:szCs w:val="24"/>
          <w:lang w:eastAsia="bg-BG"/>
        </w:rPr>
      </w:pPr>
      <w:r w:rsidRPr="00CC4BA0">
        <w:rPr>
          <w:rFonts w:ascii="Times New Roman" w:eastAsia="Times New Roman" w:hAnsi="Times New Roman" w:cs="Times New Roman"/>
          <w:sz w:val="24"/>
          <w:szCs w:val="24"/>
          <w:lang w:eastAsia="bg-BG"/>
        </w:rPr>
        <w:t>със срок от 20 /двадесет/ години,</w:t>
      </w:r>
      <w:r w:rsidR="002E4B29" w:rsidRPr="00CC4BA0">
        <w:rPr>
          <w:rFonts w:ascii="Times New Roman" w:eastAsia="Times New Roman" w:hAnsi="Times New Roman" w:cs="Times New Roman"/>
          <w:sz w:val="24"/>
          <w:szCs w:val="24"/>
          <w:lang w:eastAsia="bg-BG"/>
        </w:rPr>
        <w:t xml:space="preserve"> като нейния срок е продължен с 20 (двадесет) години</w:t>
      </w:r>
      <w:r w:rsidR="005C34B7" w:rsidRPr="00CC4BA0">
        <w:rPr>
          <w:rFonts w:ascii="Times New Roman" w:eastAsia="Times New Roman" w:hAnsi="Times New Roman" w:cs="Times New Roman"/>
          <w:sz w:val="24"/>
          <w:szCs w:val="24"/>
          <w:lang w:eastAsia="bg-BG"/>
        </w:rPr>
        <w:t>,</w:t>
      </w:r>
      <w:r w:rsidR="002E4B29" w:rsidRPr="00CC4BA0">
        <w:rPr>
          <w:rFonts w:ascii="Times New Roman" w:eastAsia="Times New Roman" w:hAnsi="Times New Roman" w:cs="Times New Roman"/>
          <w:sz w:val="24"/>
          <w:szCs w:val="24"/>
          <w:lang w:eastAsia="bg-BG"/>
        </w:rPr>
        <w:t xml:space="preserve"> съгласно Решение № И1-Л-091 от 02.07.2020 г.</w:t>
      </w:r>
    </w:p>
    <w:p w14:paraId="5C8919E6" w14:textId="45717957" w:rsidR="009B00EB" w:rsidRPr="00CC4BA0" w:rsidRDefault="009B00EB" w:rsidP="003D51C0">
      <w:pPr>
        <w:spacing w:after="0" w:line="240" w:lineRule="auto"/>
        <w:ind w:left="2832"/>
        <w:rPr>
          <w:rFonts w:ascii="Times New Roman" w:eastAsia="Times New Roman" w:hAnsi="Times New Roman" w:cs="Times New Roman"/>
          <w:sz w:val="24"/>
          <w:szCs w:val="24"/>
          <w:lang w:eastAsia="bg-BG"/>
        </w:rPr>
      </w:pPr>
      <w:r w:rsidRPr="00CC4BA0">
        <w:rPr>
          <w:rFonts w:ascii="Times New Roman" w:eastAsia="Times New Roman" w:hAnsi="Times New Roman" w:cs="Times New Roman"/>
          <w:sz w:val="24"/>
          <w:szCs w:val="24"/>
          <w:lang w:eastAsia="bg-BG"/>
        </w:rPr>
        <w:t xml:space="preserve">представлявано от </w:t>
      </w:r>
      <w:r w:rsidR="0056192A">
        <w:rPr>
          <w:rFonts w:ascii="Times New Roman" w:eastAsia="Times New Roman" w:hAnsi="Times New Roman" w:cs="Times New Roman"/>
          <w:sz w:val="24"/>
          <w:szCs w:val="24"/>
          <w:lang w:eastAsia="bg-BG"/>
        </w:rPr>
        <w:t>Диян Станимиров</w:t>
      </w:r>
      <w:r w:rsidRPr="00CC4BA0">
        <w:rPr>
          <w:rFonts w:ascii="Times New Roman" w:eastAsia="Times New Roman" w:hAnsi="Times New Roman" w:cs="Times New Roman"/>
          <w:sz w:val="24"/>
          <w:szCs w:val="24"/>
          <w:lang w:eastAsia="bg-BG"/>
        </w:rPr>
        <w:t xml:space="preserve"> Димитров  - Изпълнителен директор</w:t>
      </w:r>
    </w:p>
    <w:p w14:paraId="12B37A2E" w14:textId="77777777" w:rsidR="009B00EB" w:rsidRPr="00CC4BA0" w:rsidRDefault="009B00EB" w:rsidP="003D51C0">
      <w:pPr>
        <w:spacing w:after="0" w:line="240" w:lineRule="auto"/>
        <w:rPr>
          <w:rFonts w:ascii="Times New Roman" w:eastAsia="Times New Roman" w:hAnsi="Times New Roman" w:cs="Times New Roman"/>
          <w:b/>
          <w:sz w:val="24"/>
          <w:szCs w:val="24"/>
          <w:lang w:eastAsia="bg-BG"/>
        </w:rPr>
      </w:pPr>
    </w:p>
    <w:p w14:paraId="0A62E03A" w14:textId="77777777" w:rsidR="009B00EB" w:rsidRPr="00CC4BA0" w:rsidRDefault="009B00EB" w:rsidP="003D51C0">
      <w:pPr>
        <w:spacing w:after="0" w:line="240" w:lineRule="auto"/>
        <w:rPr>
          <w:rFonts w:ascii="Times New Roman" w:eastAsia="Times New Roman" w:hAnsi="Times New Roman" w:cs="Times New Roman"/>
          <w:b/>
          <w:sz w:val="24"/>
          <w:szCs w:val="24"/>
          <w:lang w:eastAsia="bg-BG"/>
        </w:rPr>
      </w:pPr>
    </w:p>
    <w:p w14:paraId="0E40B650" w14:textId="77777777" w:rsidR="009B00EB" w:rsidRPr="00CC4BA0" w:rsidRDefault="009B00EB" w:rsidP="003D51C0">
      <w:pPr>
        <w:spacing w:after="0" w:line="240" w:lineRule="auto"/>
        <w:rPr>
          <w:rFonts w:ascii="Times New Roman" w:eastAsia="Times New Roman" w:hAnsi="Times New Roman" w:cs="Times New Roman"/>
          <w:b/>
          <w:sz w:val="24"/>
          <w:szCs w:val="24"/>
          <w:lang w:eastAsia="bg-BG"/>
        </w:rPr>
      </w:pPr>
      <w:r w:rsidRPr="00CC4BA0">
        <w:rPr>
          <w:rFonts w:ascii="Times New Roman" w:eastAsia="Times New Roman" w:hAnsi="Times New Roman" w:cs="Times New Roman"/>
          <w:b/>
          <w:sz w:val="24"/>
          <w:szCs w:val="24"/>
          <w:lang w:eastAsia="bg-BG"/>
        </w:rPr>
        <w:t>УВАЖАЕМИ ГОСПОДИН ПРЕДСЕДАТЕЛ,</w:t>
      </w:r>
    </w:p>
    <w:p w14:paraId="639ED91A" w14:textId="77777777" w:rsidR="009B00EB" w:rsidRPr="00CC4BA0" w:rsidRDefault="009B00EB" w:rsidP="003D51C0">
      <w:pPr>
        <w:spacing w:after="120" w:line="240" w:lineRule="auto"/>
        <w:jc w:val="both"/>
        <w:rPr>
          <w:rFonts w:ascii="Times New Roman" w:eastAsia="Times New Roman" w:hAnsi="Times New Roman" w:cs="Times New Roman"/>
          <w:sz w:val="24"/>
          <w:szCs w:val="24"/>
          <w:lang w:eastAsia="bg-BG"/>
        </w:rPr>
      </w:pPr>
    </w:p>
    <w:p w14:paraId="5FFBA391" w14:textId="462759D7" w:rsidR="009B00EB" w:rsidRPr="00CC4BA0" w:rsidRDefault="009B00EB" w:rsidP="003D51C0">
      <w:pPr>
        <w:spacing w:after="120" w:line="240" w:lineRule="auto"/>
        <w:jc w:val="both"/>
        <w:rPr>
          <w:rFonts w:ascii="Times New Roman" w:eastAsia="Times New Roman" w:hAnsi="Times New Roman" w:cs="Times New Roman"/>
          <w:sz w:val="24"/>
          <w:szCs w:val="24"/>
          <w:lang w:eastAsia="bg-BG"/>
        </w:rPr>
      </w:pPr>
      <w:r w:rsidRPr="00CC4BA0">
        <w:rPr>
          <w:rFonts w:ascii="Times New Roman" w:eastAsia="Times New Roman" w:hAnsi="Times New Roman" w:cs="Times New Roman"/>
          <w:sz w:val="24"/>
          <w:szCs w:val="24"/>
          <w:lang w:eastAsia="bg-BG"/>
        </w:rPr>
        <w:t>„ТЕЦ Марица изток 2“ ЕАД  изготви предложение за участие на централата с определена „квота“ в регулирания ценови микс на обществения доставчик, к</w:t>
      </w:r>
      <w:r w:rsidR="00800E26" w:rsidRPr="00CC4BA0">
        <w:rPr>
          <w:rFonts w:ascii="Times New Roman" w:eastAsia="Times New Roman" w:hAnsi="Times New Roman" w:cs="Times New Roman"/>
          <w:sz w:val="24"/>
          <w:szCs w:val="24"/>
          <w:lang w:eastAsia="bg-BG"/>
        </w:rPr>
        <w:t>а</w:t>
      </w:r>
      <w:r w:rsidRPr="00CC4BA0">
        <w:rPr>
          <w:rFonts w:ascii="Times New Roman" w:eastAsia="Times New Roman" w:hAnsi="Times New Roman" w:cs="Times New Roman"/>
          <w:sz w:val="24"/>
          <w:szCs w:val="24"/>
          <w:lang w:eastAsia="bg-BG"/>
        </w:rPr>
        <w:t xml:space="preserve">то представяме настоящата технико-икономическа обосновка за разглеждане от КЕВР. </w:t>
      </w:r>
    </w:p>
    <w:p w14:paraId="53BEEBCF" w14:textId="77777777" w:rsidR="009B00EB" w:rsidRPr="00CC4BA0" w:rsidRDefault="009B00EB" w:rsidP="003D51C0">
      <w:pPr>
        <w:spacing w:after="120" w:line="240" w:lineRule="auto"/>
        <w:jc w:val="both"/>
        <w:rPr>
          <w:rFonts w:ascii="Times New Roman" w:eastAsia="Times New Roman" w:hAnsi="Times New Roman" w:cs="Times New Roman"/>
          <w:sz w:val="24"/>
          <w:szCs w:val="24"/>
          <w:lang w:eastAsia="bg-BG"/>
        </w:rPr>
      </w:pPr>
    </w:p>
    <w:p w14:paraId="5E6940E2" w14:textId="59973306" w:rsidR="009B00EB" w:rsidRPr="00CC4BA0" w:rsidRDefault="00B350FA" w:rsidP="003D51C0">
      <w:pPr>
        <w:numPr>
          <w:ilvl w:val="0"/>
          <w:numId w:val="1"/>
        </w:numPr>
        <w:spacing w:after="120" w:line="240" w:lineRule="auto"/>
        <w:contextualSpacing/>
        <w:jc w:val="both"/>
        <w:rPr>
          <w:rFonts w:ascii="Times New Roman" w:eastAsia="Times New Roman" w:hAnsi="Times New Roman" w:cs="Times New Roman"/>
          <w:b/>
          <w:sz w:val="24"/>
          <w:szCs w:val="24"/>
          <w:lang w:eastAsia="bg-BG"/>
        </w:rPr>
      </w:pPr>
      <w:proofErr w:type="spellStart"/>
      <w:r w:rsidRPr="00CC4BA0">
        <w:rPr>
          <w:rFonts w:ascii="Times New Roman" w:eastAsia="Times New Roman" w:hAnsi="Times New Roman" w:cs="Times New Roman"/>
          <w:b/>
          <w:sz w:val="24"/>
          <w:szCs w:val="24"/>
          <w:lang w:eastAsia="bg-BG"/>
        </w:rPr>
        <w:t>Еднокомпонентна</w:t>
      </w:r>
      <w:proofErr w:type="spellEnd"/>
      <w:r w:rsidRPr="00CC4BA0">
        <w:rPr>
          <w:rFonts w:ascii="Times New Roman" w:eastAsia="Times New Roman" w:hAnsi="Times New Roman" w:cs="Times New Roman"/>
          <w:b/>
          <w:sz w:val="24"/>
          <w:szCs w:val="24"/>
          <w:lang w:eastAsia="bg-BG"/>
        </w:rPr>
        <w:t xml:space="preserve"> ц</w:t>
      </w:r>
      <w:r w:rsidR="009B00EB" w:rsidRPr="00CC4BA0">
        <w:rPr>
          <w:rFonts w:ascii="Times New Roman" w:eastAsia="Times New Roman" w:hAnsi="Times New Roman" w:cs="Times New Roman"/>
          <w:b/>
          <w:sz w:val="24"/>
          <w:szCs w:val="24"/>
          <w:lang w:eastAsia="bg-BG"/>
        </w:rPr>
        <w:t>ена за енергия</w:t>
      </w:r>
      <w:r w:rsidR="00294354" w:rsidRPr="00CC4BA0">
        <w:rPr>
          <w:rFonts w:ascii="Times New Roman" w:eastAsia="Times New Roman" w:hAnsi="Times New Roman" w:cs="Times New Roman"/>
          <w:b/>
          <w:sz w:val="24"/>
          <w:szCs w:val="24"/>
          <w:lang w:eastAsia="bg-BG"/>
        </w:rPr>
        <w:t xml:space="preserve"> за настоящия ценови период (</w:t>
      </w:r>
      <w:r w:rsidR="00294354" w:rsidRPr="00CC4BA0">
        <w:rPr>
          <w:rFonts w:ascii="Times New Roman" w:eastAsia="Times New Roman" w:hAnsi="Times New Roman" w:cs="Times New Roman"/>
          <w:b/>
          <w:sz w:val="24"/>
          <w:szCs w:val="24"/>
          <w:lang w:val="en-US" w:eastAsia="bg-BG"/>
        </w:rPr>
        <w:t>01.07.202</w:t>
      </w:r>
      <w:r w:rsidR="00E83CA1">
        <w:rPr>
          <w:rFonts w:ascii="Times New Roman" w:eastAsia="Times New Roman" w:hAnsi="Times New Roman" w:cs="Times New Roman"/>
          <w:b/>
          <w:sz w:val="24"/>
          <w:szCs w:val="24"/>
          <w:lang w:val="en-US" w:eastAsia="bg-BG"/>
        </w:rPr>
        <w:t>4</w:t>
      </w:r>
      <w:r w:rsidR="00294354" w:rsidRPr="00CC4BA0">
        <w:rPr>
          <w:rFonts w:ascii="Times New Roman" w:eastAsia="Times New Roman" w:hAnsi="Times New Roman" w:cs="Times New Roman"/>
          <w:b/>
          <w:sz w:val="24"/>
          <w:szCs w:val="24"/>
          <w:lang w:val="en-US" w:eastAsia="bg-BG"/>
        </w:rPr>
        <w:t xml:space="preserve"> </w:t>
      </w:r>
      <w:r w:rsidR="00294354" w:rsidRPr="00CC4BA0">
        <w:rPr>
          <w:rFonts w:ascii="Times New Roman" w:eastAsia="Times New Roman" w:hAnsi="Times New Roman" w:cs="Times New Roman"/>
          <w:b/>
          <w:sz w:val="24"/>
          <w:szCs w:val="24"/>
          <w:lang w:eastAsia="bg-BG"/>
        </w:rPr>
        <w:t>г. – 30.06.202</w:t>
      </w:r>
      <w:r w:rsidR="00E83CA1">
        <w:rPr>
          <w:rFonts w:ascii="Times New Roman" w:eastAsia="Times New Roman" w:hAnsi="Times New Roman" w:cs="Times New Roman"/>
          <w:b/>
          <w:sz w:val="24"/>
          <w:szCs w:val="24"/>
          <w:lang w:val="en-US" w:eastAsia="bg-BG"/>
        </w:rPr>
        <w:t>5</w:t>
      </w:r>
      <w:r w:rsidR="00294354" w:rsidRPr="00CC4BA0">
        <w:rPr>
          <w:rFonts w:ascii="Times New Roman" w:eastAsia="Times New Roman" w:hAnsi="Times New Roman" w:cs="Times New Roman"/>
          <w:b/>
          <w:sz w:val="24"/>
          <w:szCs w:val="24"/>
          <w:lang w:eastAsia="bg-BG"/>
        </w:rPr>
        <w:t xml:space="preserve"> г</w:t>
      </w:r>
      <w:r w:rsidR="00C06031">
        <w:rPr>
          <w:rFonts w:ascii="Times New Roman" w:eastAsia="Times New Roman" w:hAnsi="Times New Roman" w:cs="Times New Roman"/>
          <w:b/>
          <w:sz w:val="24"/>
          <w:szCs w:val="24"/>
          <w:lang w:eastAsia="bg-BG"/>
        </w:rPr>
        <w:t>.</w:t>
      </w:r>
      <w:r w:rsidR="00294354" w:rsidRPr="00CC4BA0">
        <w:rPr>
          <w:rFonts w:ascii="Times New Roman" w:eastAsia="Times New Roman" w:hAnsi="Times New Roman" w:cs="Times New Roman"/>
          <w:b/>
          <w:sz w:val="24"/>
          <w:szCs w:val="24"/>
          <w:lang w:eastAsia="bg-BG"/>
        </w:rPr>
        <w:t>)</w:t>
      </w:r>
    </w:p>
    <w:p w14:paraId="02A35C87" w14:textId="77777777" w:rsidR="00096367" w:rsidRPr="00CC4BA0" w:rsidRDefault="00096367" w:rsidP="00B57AFB">
      <w:pPr>
        <w:spacing w:line="240" w:lineRule="auto"/>
        <w:jc w:val="both"/>
        <w:rPr>
          <w:sz w:val="24"/>
          <w:szCs w:val="24"/>
        </w:rPr>
      </w:pPr>
    </w:p>
    <w:p w14:paraId="097EEE62" w14:textId="4038E4F9" w:rsidR="0090300F" w:rsidRDefault="0090300F" w:rsidP="00B57AFB">
      <w:pPr>
        <w:spacing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На 25.04.2024 г. на второ четене беше приет </w:t>
      </w:r>
      <w:r w:rsidRPr="00C06031">
        <w:rPr>
          <w:rFonts w:ascii="Times New Roman" w:hAnsi="Times New Roman" w:cs="Times New Roman"/>
          <w:sz w:val="24"/>
          <w:szCs w:val="24"/>
        </w:rPr>
        <w:t>законопроект за изменение на Закона за изменение и допълнение на Закона за енергетиката</w:t>
      </w:r>
      <w:r>
        <w:rPr>
          <w:rFonts w:ascii="Times New Roman" w:hAnsi="Times New Roman" w:cs="Times New Roman"/>
          <w:sz w:val="24"/>
          <w:szCs w:val="24"/>
        </w:rPr>
        <w:t>, с който се предвижда премахването на фигурата на Обществения доставчик да се отложи с 12 месеца - до 01.07.2025 г. В тази връзка в заключителните разпоредби на нормативния акт е предвидено и „</w:t>
      </w:r>
      <w:r w:rsidRPr="00F113DA">
        <w:rPr>
          <w:rFonts w:ascii="Times New Roman" w:hAnsi="Times New Roman" w:cs="Times New Roman"/>
          <w:i/>
          <w:sz w:val="24"/>
          <w:szCs w:val="24"/>
        </w:rPr>
        <w:t>§ 10. В срок до 30 април 2024 г. дружествата в сектор „</w:t>
      </w:r>
      <w:proofErr w:type="spellStart"/>
      <w:r w:rsidRPr="00F113DA">
        <w:rPr>
          <w:rFonts w:ascii="Times New Roman" w:hAnsi="Times New Roman" w:cs="Times New Roman"/>
          <w:i/>
          <w:sz w:val="24"/>
          <w:szCs w:val="24"/>
        </w:rPr>
        <w:t>Електроенергетика</w:t>
      </w:r>
      <w:proofErr w:type="spellEnd"/>
      <w:r w:rsidRPr="00F113DA">
        <w:rPr>
          <w:rFonts w:ascii="Times New Roman" w:hAnsi="Times New Roman" w:cs="Times New Roman"/>
          <w:i/>
          <w:sz w:val="24"/>
          <w:szCs w:val="24"/>
        </w:rPr>
        <w:t xml:space="preserve">“ подават заявление до </w:t>
      </w:r>
      <w:r w:rsidR="00DE5D2B">
        <w:rPr>
          <w:rFonts w:ascii="Times New Roman" w:hAnsi="Times New Roman" w:cs="Times New Roman"/>
          <w:i/>
          <w:sz w:val="24"/>
          <w:szCs w:val="24"/>
        </w:rPr>
        <w:t>К</w:t>
      </w:r>
      <w:r w:rsidRPr="00F113DA">
        <w:rPr>
          <w:rFonts w:ascii="Times New Roman" w:hAnsi="Times New Roman" w:cs="Times New Roman"/>
          <w:i/>
          <w:sz w:val="24"/>
          <w:szCs w:val="24"/>
        </w:rPr>
        <w:t>омисията за утвърждаване на цени за периода 1 юли 2024 г. - 30 юни 2025 г., като в този случай чл. 36а, ал. 1 не се прилага.</w:t>
      </w:r>
      <w:r>
        <w:rPr>
          <w:rFonts w:ascii="Times New Roman" w:hAnsi="Times New Roman" w:cs="Times New Roman"/>
          <w:i/>
          <w:sz w:val="24"/>
          <w:szCs w:val="24"/>
        </w:rPr>
        <w:t>“</w:t>
      </w:r>
    </w:p>
    <w:p w14:paraId="43455002" w14:textId="633AEA61" w:rsidR="00D44A7C" w:rsidRPr="00096367" w:rsidRDefault="00D44A7C" w:rsidP="00B57AFB">
      <w:pPr>
        <w:spacing w:line="240" w:lineRule="auto"/>
        <w:jc w:val="both"/>
        <w:rPr>
          <w:rFonts w:ascii="Times New Roman" w:hAnsi="Times New Roman" w:cs="Times New Roman"/>
          <w:sz w:val="24"/>
          <w:szCs w:val="24"/>
        </w:rPr>
      </w:pPr>
      <w:r w:rsidRPr="00CC4BA0">
        <w:rPr>
          <w:rFonts w:ascii="Times New Roman" w:hAnsi="Times New Roman" w:cs="Times New Roman"/>
          <w:sz w:val="24"/>
          <w:szCs w:val="24"/>
        </w:rPr>
        <w:lastRenderedPageBreak/>
        <w:t xml:space="preserve">„ТЕЦ Марица изток 2” ЕАД подаде заявление </w:t>
      </w:r>
      <w:r>
        <w:rPr>
          <w:rFonts w:ascii="Times New Roman" w:hAnsi="Times New Roman" w:cs="Times New Roman"/>
          <w:sz w:val="24"/>
          <w:szCs w:val="24"/>
        </w:rPr>
        <w:t>с наш изх.№ 1</w:t>
      </w:r>
      <w:r>
        <w:rPr>
          <w:rFonts w:ascii="Times New Roman" w:hAnsi="Times New Roman" w:cs="Times New Roman"/>
          <w:sz w:val="24"/>
          <w:szCs w:val="24"/>
          <w:lang w:val="en-US"/>
        </w:rPr>
        <w:t>5118</w:t>
      </w:r>
      <w:r>
        <w:rPr>
          <w:rFonts w:ascii="Times New Roman" w:hAnsi="Times New Roman" w:cs="Times New Roman"/>
          <w:sz w:val="24"/>
          <w:szCs w:val="24"/>
        </w:rPr>
        <w:t>/30.0</w:t>
      </w:r>
      <w:r>
        <w:rPr>
          <w:rFonts w:ascii="Times New Roman" w:hAnsi="Times New Roman" w:cs="Times New Roman"/>
          <w:sz w:val="24"/>
          <w:szCs w:val="24"/>
          <w:lang w:val="en-US"/>
        </w:rPr>
        <w:t>4</w:t>
      </w:r>
      <w:r>
        <w:rPr>
          <w:rFonts w:ascii="Times New Roman" w:hAnsi="Times New Roman" w:cs="Times New Roman"/>
          <w:sz w:val="24"/>
          <w:szCs w:val="24"/>
        </w:rPr>
        <w:t>.202</w:t>
      </w:r>
      <w:r>
        <w:rPr>
          <w:rFonts w:ascii="Times New Roman" w:hAnsi="Times New Roman" w:cs="Times New Roman"/>
          <w:sz w:val="24"/>
          <w:szCs w:val="24"/>
          <w:lang w:val="en-US"/>
        </w:rPr>
        <w:t>4</w:t>
      </w:r>
      <w:r>
        <w:rPr>
          <w:rFonts w:ascii="Times New Roman" w:hAnsi="Times New Roman" w:cs="Times New Roman"/>
          <w:sz w:val="24"/>
          <w:szCs w:val="24"/>
        </w:rPr>
        <w:t xml:space="preserve"> г. и вх.№ Е-13-12-</w:t>
      </w:r>
      <w:r>
        <w:rPr>
          <w:rFonts w:ascii="Times New Roman" w:hAnsi="Times New Roman" w:cs="Times New Roman"/>
          <w:sz w:val="24"/>
          <w:szCs w:val="24"/>
          <w:lang w:val="en-US"/>
        </w:rPr>
        <w:t>4</w:t>
      </w:r>
      <w:r>
        <w:rPr>
          <w:rFonts w:ascii="Times New Roman" w:hAnsi="Times New Roman" w:cs="Times New Roman"/>
          <w:sz w:val="24"/>
          <w:szCs w:val="24"/>
        </w:rPr>
        <w:t>/3</w:t>
      </w:r>
      <w:r>
        <w:rPr>
          <w:rFonts w:ascii="Times New Roman" w:hAnsi="Times New Roman" w:cs="Times New Roman"/>
          <w:sz w:val="24"/>
          <w:szCs w:val="24"/>
          <w:lang w:val="en-US"/>
        </w:rPr>
        <w:t>0</w:t>
      </w:r>
      <w:r>
        <w:rPr>
          <w:rFonts w:ascii="Times New Roman" w:hAnsi="Times New Roman" w:cs="Times New Roman"/>
          <w:sz w:val="24"/>
          <w:szCs w:val="24"/>
        </w:rPr>
        <w:t>.0</w:t>
      </w:r>
      <w:r>
        <w:rPr>
          <w:rFonts w:ascii="Times New Roman" w:hAnsi="Times New Roman" w:cs="Times New Roman"/>
          <w:sz w:val="24"/>
          <w:szCs w:val="24"/>
          <w:lang w:val="en-US"/>
        </w:rPr>
        <w:t>4</w:t>
      </w:r>
      <w:r>
        <w:rPr>
          <w:rFonts w:ascii="Times New Roman" w:hAnsi="Times New Roman" w:cs="Times New Roman"/>
          <w:sz w:val="24"/>
          <w:szCs w:val="24"/>
        </w:rPr>
        <w:t>.202</w:t>
      </w:r>
      <w:r>
        <w:rPr>
          <w:rFonts w:ascii="Times New Roman" w:hAnsi="Times New Roman" w:cs="Times New Roman"/>
          <w:sz w:val="24"/>
          <w:szCs w:val="24"/>
          <w:lang w:val="en-US"/>
        </w:rPr>
        <w:t>4</w:t>
      </w:r>
      <w:r>
        <w:rPr>
          <w:rFonts w:ascii="Times New Roman" w:hAnsi="Times New Roman" w:cs="Times New Roman"/>
          <w:sz w:val="24"/>
          <w:szCs w:val="24"/>
        </w:rPr>
        <w:t xml:space="preserve"> г.</w:t>
      </w:r>
      <w:r>
        <w:rPr>
          <w:rFonts w:ascii="Times New Roman" w:hAnsi="Times New Roman" w:cs="Times New Roman"/>
          <w:sz w:val="24"/>
          <w:szCs w:val="24"/>
          <w:lang w:val="en-US"/>
        </w:rPr>
        <w:t xml:space="preserve"> </w:t>
      </w:r>
      <w:r w:rsidRPr="00CC4BA0">
        <w:rPr>
          <w:rFonts w:ascii="Times New Roman" w:hAnsi="Times New Roman" w:cs="Times New Roman"/>
          <w:sz w:val="24"/>
          <w:szCs w:val="24"/>
        </w:rPr>
        <w:t>до регулаторния орган КЕВР, свързано с утвърждаване на цена за продажби на регулиран пазар за  регулатор</w:t>
      </w:r>
      <w:r>
        <w:rPr>
          <w:rFonts w:ascii="Times New Roman" w:hAnsi="Times New Roman" w:cs="Times New Roman"/>
          <w:sz w:val="24"/>
          <w:szCs w:val="24"/>
        </w:rPr>
        <w:t>ния</w:t>
      </w:r>
      <w:r w:rsidRPr="00CC4BA0">
        <w:rPr>
          <w:rFonts w:ascii="Times New Roman" w:hAnsi="Times New Roman" w:cs="Times New Roman"/>
          <w:sz w:val="24"/>
          <w:szCs w:val="24"/>
        </w:rPr>
        <w:t xml:space="preserve"> период, започващ на 1 юли 202</w:t>
      </w:r>
      <w:r>
        <w:rPr>
          <w:rFonts w:ascii="Times New Roman" w:hAnsi="Times New Roman" w:cs="Times New Roman"/>
          <w:sz w:val="24"/>
          <w:szCs w:val="24"/>
          <w:lang w:val="en-US"/>
        </w:rPr>
        <w:t>4</w:t>
      </w:r>
      <w:r w:rsidRPr="00CC4BA0">
        <w:rPr>
          <w:rFonts w:ascii="Times New Roman" w:hAnsi="Times New Roman" w:cs="Times New Roman"/>
          <w:sz w:val="24"/>
          <w:szCs w:val="24"/>
        </w:rPr>
        <w:t xml:space="preserve"> г</w:t>
      </w:r>
      <w:r>
        <w:rPr>
          <w:rFonts w:ascii="Times New Roman" w:hAnsi="Times New Roman" w:cs="Times New Roman"/>
          <w:sz w:val="24"/>
          <w:szCs w:val="24"/>
        </w:rPr>
        <w:t>.</w:t>
      </w:r>
    </w:p>
    <w:p w14:paraId="30E5AD73" w14:textId="08CC0467" w:rsidR="00096367" w:rsidRPr="00CC4BA0" w:rsidRDefault="00096367" w:rsidP="00B57AFB">
      <w:pPr>
        <w:spacing w:line="240" w:lineRule="auto"/>
        <w:jc w:val="both"/>
        <w:rPr>
          <w:rFonts w:ascii="Times New Roman" w:hAnsi="Times New Roman" w:cs="Times New Roman"/>
          <w:sz w:val="24"/>
          <w:szCs w:val="24"/>
        </w:rPr>
      </w:pPr>
      <w:r w:rsidRPr="00CC4BA0">
        <w:rPr>
          <w:rFonts w:ascii="Times New Roman" w:hAnsi="Times New Roman" w:cs="Times New Roman"/>
          <w:sz w:val="24"/>
          <w:szCs w:val="24"/>
        </w:rPr>
        <w:t>С</w:t>
      </w:r>
      <w:r w:rsidR="00904002">
        <w:rPr>
          <w:rFonts w:ascii="Times New Roman" w:hAnsi="Times New Roman" w:cs="Times New Roman"/>
          <w:sz w:val="24"/>
          <w:szCs w:val="24"/>
        </w:rPr>
        <w:t xml:space="preserve"> </w:t>
      </w:r>
      <w:r w:rsidRPr="00CC4BA0">
        <w:rPr>
          <w:rFonts w:ascii="Times New Roman" w:hAnsi="Times New Roman" w:cs="Times New Roman"/>
          <w:sz w:val="24"/>
          <w:szCs w:val="24"/>
        </w:rPr>
        <w:t>Решение № Ц-1</w:t>
      </w:r>
      <w:r w:rsidR="00904002">
        <w:rPr>
          <w:rFonts w:ascii="Times New Roman" w:hAnsi="Times New Roman" w:cs="Times New Roman"/>
          <w:sz w:val="24"/>
          <w:szCs w:val="24"/>
        </w:rPr>
        <w:t xml:space="preserve">7 от </w:t>
      </w:r>
      <w:r w:rsidRPr="00CC4BA0">
        <w:rPr>
          <w:rFonts w:ascii="Times New Roman" w:hAnsi="Times New Roman" w:cs="Times New Roman"/>
          <w:sz w:val="24"/>
          <w:szCs w:val="24"/>
        </w:rPr>
        <w:t>30 юни 202</w:t>
      </w:r>
      <w:r w:rsidR="00904002">
        <w:rPr>
          <w:rFonts w:ascii="Times New Roman" w:hAnsi="Times New Roman" w:cs="Times New Roman"/>
          <w:sz w:val="24"/>
          <w:szCs w:val="24"/>
        </w:rPr>
        <w:t>4</w:t>
      </w:r>
      <w:r w:rsidRPr="00CC4BA0">
        <w:rPr>
          <w:rFonts w:ascii="Times New Roman" w:hAnsi="Times New Roman" w:cs="Times New Roman"/>
          <w:sz w:val="24"/>
          <w:szCs w:val="24"/>
        </w:rPr>
        <w:t xml:space="preserve"> г. на КЕВР</w:t>
      </w:r>
      <w:r w:rsidR="00175589">
        <w:rPr>
          <w:rFonts w:ascii="Times New Roman" w:hAnsi="Times New Roman" w:cs="Times New Roman"/>
          <w:sz w:val="24"/>
          <w:szCs w:val="24"/>
        </w:rPr>
        <w:t xml:space="preserve"> </w:t>
      </w:r>
      <w:r w:rsidRPr="00CC4BA0">
        <w:rPr>
          <w:rFonts w:ascii="Times New Roman" w:hAnsi="Times New Roman" w:cs="Times New Roman"/>
          <w:sz w:val="24"/>
          <w:szCs w:val="24"/>
        </w:rPr>
        <w:t>изчислена</w:t>
      </w:r>
      <w:r w:rsidR="00175589">
        <w:rPr>
          <w:rFonts w:ascii="Times New Roman" w:hAnsi="Times New Roman" w:cs="Times New Roman"/>
          <w:sz w:val="24"/>
          <w:szCs w:val="24"/>
        </w:rPr>
        <w:t>та</w:t>
      </w:r>
      <w:r w:rsidRPr="00CC4BA0">
        <w:rPr>
          <w:rFonts w:ascii="Times New Roman" w:hAnsi="Times New Roman" w:cs="Times New Roman"/>
          <w:sz w:val="24"/>
          <w:szCs w:val="24"/>
        </w:rPr>
        <w:t xml:space="preserve"> еднокомпонентна цена на активната ел</w:t>
      </w:r>
      <w:r w:rsidR="00904002">
        <w:rPr>
          <w:rFonts w:ascii="Times New Roman" w:hAnsi="Times New Roman" w:cs="Times New Roman"/>
          <w:sz w:val="24"/>
          <w:szCs w:val="24"/>
        </w:rPr>
        <w:t xml:space="preserve">ектрическа </w:t>
      </w:r>
      <w:r w:rsidRPr="00CC4BA0">
        <w:rPr>
          <w:rFonts w:ascii="Times New Roman" w:hAnsi="Times New Roman" w:cs="Times New Roman"/>
          <w:sz w:val="24"/>
          <w:szCs w:val="24"/>
        </w:rPr>
        <w:t>енергия</w:t>
      </w:r>
      <w:r w:rsidR="00175589">
        <w:rPr>
          <w:rFonts w:ascii="Times New Roman" w:hAnsi="Times New Roman" w:cs="Times New Roman"/>
          <w:sz w:val="24"/>
          <w:szCs w:val="24"/>
        </w:rPr>
        <w:t>, произвеждана от „ТЕЦ Марица изток 2“ ЕАД е</w:t>
      </w:r>
      <w:r w:rsidRPr="00CC4BA0">
        <w:rPr>
          <w:rFonts w:ascii="Times New Roman" w:hAnsi="Times New Roman" w:cs="Times New Roman"/>
          <w:sz w:val="24"/>
          <w:szCs w:val="24"/>
        </w:rPr>
        <w:t xml:space="preserve"> в размер на </w:t>
      </w:r>
      <w:bookmarkStart w:id="0" w:name="_Hlk193746901"/>
      <w:r w:rsidR="00175589">
        <w:rPr>
          <w:rFonts w:ascii="Times New Roman" w:hAnsi="Times New Roman" w:cs="Times New Roman"/>
          <w:sz w:val="24"/>
          <w:szCs w:val="24"/>
        </w:rPr>
        <w:t>275,98</w:t>
      </w:r>
      <w:r w:rsidRPr="00CC4BA0">
        <w:rPr>
          <w:rFonts w:ascii="Times New Roman" w:hAnsi="Times New Roman" w:cs="Times New Roman"/>
          <w:sz w:val="24"/>
          <w:szCs w:val="24"/>
        </w:rPr>
        <w:t xml:space="preserve"> лв./MВтч</w:t>
      </w:r>
      <w:r w:rsidR="001E2F24" w:rsidRPr="00CC4BA0">
        <w:rPr>
          <w:rFonts w:ascii="Times New Roman" w:hAnsi="Times New Roman" w:cs="Times New Roman"/>
          <w:sz w:val="24"/>
          <w:szCs w:val="24"/>
          <w:lang w:val="en-US"/>
        </w:rPr>
        <w:t xml:space="preserve"> </w:t>
      </w:r>
      <w:r w:rsidR="001E2F24" w:rsidRPr="00CC4BA0">
        <w:rPr>
          <w:rFonts w:ascii="Times New Roman" w:hAnsi="Times New Roman" w:cs="Times New Roman"/>
          <w:sz w:val="24"/>
          <w:szCs w:val="24"/>
        </w:rPr>
        <w:t>без ДДС</w:t>
      </w:r>
      <w:bookmarkEnd w:id="0"/>
      <w:r w:rsidRPr="00CC4BA0">
        <w:rPr>
          <w:rFonts w:ascii="Times New Roman" w:hAnsi="Times New Roman" w:cs="Times New Roman"/>
          <w:sz w:val="24"/>
          <w:szCs w:val="24"/>
        </w:rPr>
        <w:t xml:space="preserve">, </w:t>
      </w:r>
      <w:r w:rsidR="00175589" w:rsidRPr="00175589">
        <w:rPr>
          <w:rFonts w:ascii="Times New Roman" w:eastAsia="Times New Roman" w:hAnsi="Times New Roman" w:cs="Times New Roman"/>
          <w:sz w:val="24"/>
          <w:szCs w:val="24"/>
          <w:lang w:eastAsia="bg-BG"/>
        </w:rPr>
        <w:t>при общо необходими приходи от 2 190 806 хил. лв. и нетна електрическа енергия – 7 938 135 MWh.</w:t>
      </w:r>
      <w:r w:rsidR="00175589">
        <w:rPr>
          <w:rFonts w:ascii="Times New Roman" w:eastAsia="Times New Roman" w:hAnsi="Times New Roman" w:cs="Times New Roman"/>
          <w:sz w:val="24"/>
          <w:szCs w:val="24"/>
          <w:lang w:eastAsia="bg-BG"/>
        </w:rPr>
        <w:t xml:space="preserve"> Тази цена е по-висока с 59,44% от изчислената от КЕВР прогнозна пазарна цена за периода 01.07.2024 – 30.06.2025 г., поради което на основание </w:t>
      </w:r>
      <w:r w:rsidR="00175589" w:rsidRPr="00175589">
        <w:rPr>
          <w:rFonts w:ascii="Times New Roman" w:eastAsia="Times New Roman" w:hAnsi="Times New Roman" w:cs="Times New Roman"/>
          <w:sz w:val="24"/>
          <w:szCs w:val="24"/>
          <w:lang w:eastAsia="bg-BG"/>
        </w:rPr>
        <w:t>чл.21, ал.1, т.21, изр.второ и чл.24, ал.2 от ЗЕ</w:t>
      </w:r>
      <w:r w:rsidR="00175589">
        <w:rPr>
          <w:rFonts w:ascii="Times New Roman" w:eastAsia="Times New Roman" w:hAnsi="Times New Roman" w:cs="Times New Roman"/>
          <w:sz w:val="24"/>
          <w:szCs w:val="24"/>
          <w:lang w:eastAsia="bg-BG"/>
        </w:rPr>
        <w:t xml:space="preserve">, Комисията </w:t>
      </w:r>
      <w:r w:rsidR="00175589" w:rsidRPr="00175589">
        <w:rPr>
          <w:rFonts w:ascii="Times New Roman" w:eastAsia="Times New Roman" w:hAnsi="Times New Roman" w:cs="Times New Roman"/>
          <w:sz w:val="24"/>
          <w:szCs w:val="24"/>
          <w:lang w:eastAsia="bg-BG"/>
        </w:rPr>
        <w:t>отказва на „ТЕЦ Марица изток 2“ ЕАД да</w:t>
      </w:r>
      <w:r w:rsidR="00175589">
        <w:rPr>
          <w:rFonts w:ascii="Times New Roman" w:eastAsia="Times New Roman" w:hAnsi="Times New Roman" w:cs="Times New Roman"/>
          <w:sz w:val="24"/>
          <w:szCs w:val="24"/>
          <w:lang w:eastAsia="bg-BG"/>
        </w:rPr>
        <w:t xml:space="preserve"> определи ра</w:t>
      </w:r>
      <w:r w:rsidR="00BC483A">
        <w:rPr>
          <w:rFonts w:ascii="Times New Roman" w:eastAsia="Times New Roman" w:hAnsi="Times New Roman" w:cs="Times New Roman"/>
          <w:sz w:val="24"/>
          <w:szCs w:val="24"/>
          <w:lang w:eastAsia="bg-BG"/>
        </w:rPr>
        <w:t>зполагаемост</w:t>
      </w:r>
      <w:r w:rsidR="00175589" w:rsidRPr="00175589">
        <w:rPr>
          <w:rFonts w:ascii="Times New Roman" w:eastAsia="Times New Roman" w:hAnsi="Times New Roman" w:cs="Times New Roman"/>
          <w:sz w:val="24"/>
          <w:szCs w:val="24"/>
          <w:lang w:eastAsia="bg-BG"/>
        </w:rPr>
        <w:t xml:space="preserve">, </w:t>
      </w:r>
      <w:r w:rsidR="00BC483A">
        <w:rPr>
          <w:rFonts w:ascii="Times New Roman" w:eastAsia="Times New Roman" w:hAnsi="Times New Roman" w:cs="Times New Roman"/>
          <w:sz w:val="24"/>
          <w:szCs w:val="24"/>
          <w:lang w:eastAsia="bg-BG"/>
        </w:rPr>
        <w:t>с</w:t>
      </w:r>
      <w:r w:rsidR="00175589" w:rsidRPr="00175589">
        <w:rPr>
          <w:rFonts w:ascii="Times New Roman" w:eastAsia="Times New Roman" w:hAnsi="Times New Roman" w:cs="Times New Roman"/>
          <w:sz w:val="24"/>
          <w:szCs w:val="24"/>
          <w:lang w:eastAsia="bg-BG"/>
        </w:rPr>
        <w:t xml:space="preserve"> която да </w:t>
      </w:r>
      <w:r w:rsidR="00BC483A">
        <w:rPr>
          <w:rFonts w:ascii="Times New Roman" w:eastAsia="Times New Roman" w:hAnsi="Times New Roman" w:cs="Times New Roman"/>
          <w:sz w:val="24"/>
          <w:szCs w:val="24"/>
          <w:lang w:eastAsia="bg-BG"/>
        </w:rPr>
        <w:t>участва в микса на</w:t>
      </w:r>
      <w:r w:rsidR="00175589" w:rsidRPr="00175589">
        <w:rPr>
          <w:rFonts w:ascii="Times New Roman" w:eastAsia="Times New Roman" w:hAnsi="Times New Roman" w:cs="Times New Roman"/>
          <w:sz w:val="24"/>
          <w:szCs w:val="24"/>
          <w:lang w:eastAsia="bg-BG"/>
        </w:rPr>
        <w:t xml:space="preserve"> </w:t>
      </w:r>
      <w:r w:rsidR="00BC483A">
        <w:rPr>
          <w:rFonts w:ascii="Times New Roman" w:eastAsia="Times New Roman" w:hAnsi="Times New Roman" w:cs="Times New Roman"/>
          <w:sz w:val="24"/>
          <w:szCs w:val="24"/>
          <w:lang w:eastAsia="bg-BG"/>
        </w:rPr>
        <w:t>О</w:t>
      </w:r>
      <w:r w:rsidR="00175589" w:rsidRPr="00175589">
        <w:rPr>
          <w:rFonts w:ascii="Times New Roman" w:eastAsia="Times New Roman" w:hAnsi="Times New Roman" w:cs="Times New Roman"/>
          <w:sz w:val="24"/>
          <w:szCs w:val="24"/>
          <w:lang w:eastAsia="bg-BG"/>
        </w:rPr>
        <w:t>бществения доставчик.</w:t>
      </w:r>
    </w:p>
    <w:p w14:paraId="261AAF68" w14:textId="3D1C3D49" w:rsidR="00BC483A" w:rsidRPr="00CC4BA0" w:rsidRDefault="00BC483A" w:rsidP="00B57AF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Със Заповед </w:t>
      </w:r>
      <w:r w:rsidRPr="00BC483A">
        <w:rPr>
          <w:rFonts w:ascii="Times New Roman" w:hAnsi="Times New Roman" w:cs="Times New Roman"/>
          <w:sz w:val="24"/>
          <w:szCs w:val="24"/>
        </w:rPr>
        <w:t>№ Е-РД-16-310 от 31.05.2024 г</w:t>
      </w:r>
      <w:r>
        <w:rPr>
          <w:rFonts w:ascii="Times New Roman" w:hAnsi="Times New Roman" w:cs="Times New Roman"/>
          <w:sz w:val="24"/>
          <w:szCs w:val="24"/>
        </w:rPr>
        <w:t>.</w:t>
      </w:r>
      <w:r w:rsidRPr="00BC483A">
        <w:rPr>
          <w:rFonts w:ascii="Times New Roman" w:hAnsi="Times New Roman" w:cs="Times New Roman"/>
          <w:sz w:val="24"/>
          <w:szCs w:val="24"/>
        </w:rPr>
        <w:t xml:space="preserve"> </w:t>
      </w:r>
      <w:r>
        <w:rPr>
          <w:rFonts w:ascii="Times New Roman" w:hAnsi="Times New Roman" w:cs="Times New Roman"/>
          <w:sz w:val="24"/>
          <w:szCs w:val="24"/>
        </w:rPr>
        <w:t xml:space="preserve">на </w:t>
      </w:r>
      <w:r w:rsidRPr="00BC483A">
        <w:rPr>
          <w:rFonts w:ascii="Times New Roman" w:hAnsi="Times New Roman" w:cs="Times New Roman"/>
          <w:sz w:val="24"/>
          <w:szCs w:val="24"/>
        </w:rPr>
        <w:t>Министър</w:t>
      </w:r>
      <w:r>
        <w:rPr>
          <w:rFonts w:ascii="Times New Roman" w:hAnsi="Times New Roman" w:cs="Times New Roman"/>
          <w:sz w:val="24"/>
          <w:szCs w:val="24"/>
        </w:rPr>
        <w:t>а</w:t>
      </w:r>
      <w:r w:rsidRPr="00BC483A">
        <w:rPr>
          <w:rFonts w:ascii="Times New Roman" w:hAnsi="Times New Roman" w:cs="Times New Roman"/>
          <w:sz w:val="24"/>
          <w:szCs w:val="24"/>
        </w:rPr>
        <w:t xml:space="preserve"> на енергетиката</w:t>
      </w:r>
      <w:r>
        <w:rPr>
          <w:rFonts w:ascii="Times New Roman" w:hAnsi="Times New Roman" w:cs="Times New Roman"/>
          <w:sz w:val="24"/>
          <w:szCs w:val="24"/>
        </w:rPr>
        <w:t>, издадена на</w:t>
      </w:r>
      <w:r w:rsidRPr="00BC483A">
        <w:rPr>
          <w:rFonts w:ascii="Times New Roman" w:hAnsi="Times New Roman" w:cs="Times New Roman"/>
          <w:sz w:val="24"/>
          <w:szCs w:val="24"/>
        </w:rPr>
        <w:t xml:space="preserve">  основание чл. 4, ал. 2, т. 8 от ЗЕ е определ</w:t>
      </w:r>
      <w:r>
        <w:rPr>
          <w:rFonts w:ascii="Times New Roman" w:hAnsi="Times New Roman" w:cs="Times New Roman"/>
          <w:sz w:val="24"/>
          <w:szCs w:val="24"/>
        </w:rPr>
        <w:t>ена</w:t>
      </w:r>
      <w:r w:rsidRPr="00BC483A">
        <w:rPr>
          <w:rFonts w:ascii="Times New Roman" w:hAnsi="Times New Roman" w:cs="Times New Roman"/>
          <w:sz w:val="24"/>
          <w:szCs w:val="24"/>
        </w:rPr>
        <w:t xml:space="preserve"> на „ТЕЦ Марица изток 2“ ЕАД обща годишна квота в размер на </w:t>
      </w:r>
      <w:bookmarkStart w:id="1" w:name="_Hlk193745904"/>
      <w:r w:rsidRPr="00BC483A">
        <w:rPr>
          <w:rFonts w:ascii="Times New Roman" w:hAnsi="Times New Roman" w:cs="Times New Roman"/>
          <w:sz w:val="24"/>
          <w:szCs w:val="24"/>
        </w:rPr>
        <w:t xml:space="preserve">2 628 000 MWh </w:t>
      </w:r>
      <w:bookmarkEnd w:id="1"/>
      <w:r w:rsidRPr="00BC483A">
        <w:rPr>
          <w:rFonts w:ascii="Times New Roman" w:hAnsi="Times New Roman" w:cs="Times New Roman"/>
          <w:sz w:val="24"/>
          <w:szCs w:val="24"/>
        </w:rPr>
        <w:t>за задължително изкупуване на електрическа енергия (изчислена при два работещи енергийни блока на централата с обща мощност 300 MW през цялата година и съобразена с необходимостта на обществения доставчик от количества електрическа енергия за изпълнение на заявките на крайните снабдители), произведена от местни първични източници на гориво, представляващи</w:t>
      </w:r>
      <w:r>
        <w:rPr>
          <w:rFonts w:ascii="Times New Roman" w:hAnsi="Times New Roman" w:cs="Times New Roman"/>
          <w:sz w:val="24"/>
          <w:szCs w:val="24"/>
        </w:rPr>
        <w:t xml:space="preserve"> </w:t>
      </w:r>
      <w:r w:rsidRPr="00BC483A">
        <w:rPr>
          <w:rFonts w:ascii="Times New Roman" w:hAnsi="Times New Roman" w:cs="Times New Roman"/>
          <w:sz w:val="24"/>
          <w:szCs w:val="24"/>
        </w:rPr>
        <w:t>приблизително 9,35% от цялата първична енергия, необходима за производство на електрическа енергия, консумирана в страната през календарната 2023 г. Според същата заповед общата годишна квота следва да бъде произведена от „ТЕЦ Марица изток 2“ ЕАД за периода 01.07.2024 г. – 30.06.2025 г. По силата на чл. 93а, ал. 1, т. 3 от ЗЕ тази обща годишна квота следва да бъде изкупена от обществения доставчик.</w:t>
      </w:r>
    </w:p>
    <w:p w14:paraId="25BE48B6" w14:textId="4FE205BC" w:rsidR="002B2CA6" w:rsidRDefault="00BC483A" w:rsidP="00B57AFB">
      <w:pPr>
        <w:shd w:val="clear" w:color="auto" w:fill="FFFFFF"/>
        <w:spacing w:line="240" w:lineRule="auto"/>
        <w:jc w:val="both"/>
        <w:rPr>
          <w:rFonts w:ascii="Times New Roman" w:hAnsi="Times New Roman" w:cs="Times New Roman"/>
          <w:sz w:val="24"/>
          <w:szCs w:val="24"/>
          <w:lang w:val="ru-RU"/>
        </w:rPr>
      </w:pPr>
      <w:r w:rsidRPr="00BC483A">
        <w:rPr>
          <w:rFonts w:ascii="Times New Roman" w:hAnsi="Times New Roman" w:cs="Times New Roman"/>
          <w:sz w:val="24"/>
          <w:szCs w:val="24"/>
          <w:lang w:val="ru-RU"/>
        </w:rPr>
        <w:t xml:space="preserve">Горната заповед е издадена в изпълнение на т. 2 от Решение от 31.01.2020 г. на Народното събрание за предприемане на всички необходими мерки за недопускане в дългосрочен план прекратяване на функционирането и/или ограничаването на производствения капацитет на въглищните топлоелектрически централи от групата на „Български енергиен холдинг“ ЕАД, на решение на Министерския съвет по т. 22 от Протокол № 24 от 29.05.2024 г. и на основание чл. 4, ал. 2, т. 8 от ЗЕ с оглед </w:t>
      </w:r>
      <w:r w:rsidR="00C87B97">
        <w:rPr>
          <w:rFonts w:ascii="Times New Roman" w:hAnsi="Times New Roman" w:cs="Times New Roman"/>
          <w:sz w:val="24"/>
          <w:szCs w:val="24"/>
          <w:lang w:val="ru-RU"/>
        </w:rPr>
        <w:t xml:space="preserve">гарантиране на </w:t>
      </w:r>
      <w:r w:rsidRPr="00BC483A">
        <w:rPr>
          <w:rFonts w:ascii="Times New Roman" w:hAnsi="Times New Roman" w:cs="Times New Roman"/>
          <w:sz w:val="24"/>
          <w:szCs w:val="24"/>
          <w:lang w:val="ru-RU"/>
        </w:rPr>
        <w:t>сигурността на снабдяването с електрическа енергия на територията на страната</w:t>
      </w:r>
      <w:r w:rsidR="00874E3C">
        <w:rPr>
          <w:rFonts w:ascii="Times New Roman" w:hAnsi="Times New Roman" w:cs="Times New Roman"/>
          <w:sz w:val="24"/>
          <w:szCs w:val="24"/>
          <w:lang w:val="ru-RU"/>
        </w:rPr>
        <w:t>.</w:t>
      </w:r>
    </w:p>
    <w:p w14:paraId="2D02D02B" w14:textId="445E4BC7" w:rsidR="00874E3C" w:rsidRDefault="00874E3C" w:rsidP="00B57AFB">
      <w:pPr>
        <w:shd w:val="clear" w:color="auto" w:fill="FFFFFF"/>
        <w:spacing w:line="240" w:lineRule="auto"/>
        <w:jc w:val="both"/>
        <w:rPr>
          <w:rFonts w:ascii="Times New Roman" w:hAnsi="Times New Roman" w:cs="Times New Roman"/>
          <w:sz w:val="24"/>
          <w:szCs w:val="24"/>
        </w:rPr>
      </w:pPr>
      <w:r w:rsidRPr="00874E3C">
        <w:rPr>
          <w:rFonts w:ascii="Times New Roman" w:hAnsi="Times New Roman" w:cs="Times New Roman"/>
          <w:sz w:val="24"/>
          <w:szCs w:val="24"/>
          <w:lang w:val="ru-RU"/>
        </w:rPr>
        <w:t>Въз основа на гореизложеното, определените общи количества електрическа енергия, необходими за осигуряване на потреблението на клиентите на крайните снабдители</w:t>
      </w:r>
      <w:r>
        <w:rPr>
          <w:rFonts w:ascii="Times New Roman" w:hAnsi="Times New Roman" w:cs="Times New Roman"/>
          <w:sz w:val="24"/>
          <w:szCs w:val="24"/>
          <w:lang w:val="ru-RU"/>
        </w:rPr>
        <w:t xml:space="preserve"> с Решение </w:t>
      </w:r>
      <w:r>
        <w:rPr>
          <w:rFonts w:ascii="Times New Roman" w:hAnsi="Times New Roman" w:cs="Times New Roman"/>
          <w:sz w:val="24"/>
          <w:szCs w:val="24"/>
        </w:rPr>
        <w:t xml:space="preserve">№ </w:t>
      </w:r>
      <w:r w:rsidRPr="00CC4BA0">
        <w:rPr>
          <w:rFonts w:ascii="Times New Roman" w:hAnsi="Times New Roman" w:cs="Times New Roman"/>
          <w:sz w:val="24"/>
          <w:szCs w:val="24"/>
        </w:rPr>
        <w:t>Ц-1</w:t>
      </w:r>
      <w:r>
        <w:rPr>
          <w:rFonts w:ascii="Times New Roman" w:hAnsi="Times New Roman" w:cs="Times New Roman"/>
          <w:sz w:val="24"/>
          <w:szCs w:val="24"/>
        </w:rPr>
        <w:t xml:space="preserve">7 от </w:t>
      </w:r>
      <w:r w:rsidRPr="00CC4BA0">
        <w:rPr>
          <w:rFonts w:ascii="Times New Roman" w:hAnsi="Times New Roman" w:cs="Times New Roman"/>
          <w:sz w:val="24"/>
          <w:szCs w:val="24"/>
        </w:rPr>
        <w:t>30 юни 202</w:t>
      </w:r>
      <w:r>
        <w:rPr>
          <w:rFonts w:ascii="Times New Roman" w:hAnsi="Times New Roman" w:cs="Times New Roman"/>
          <w:sz w:val="24"/>
          <w:szCs w:val="24"/>
        </w:rPr>
        <w:t>4</w:t>
      </w:r>
      <w:r w:rsidRPr="00CC4BA0">
        <w:rPr>
          <w:rFonts w:ascii="Times New Roman" w:hAnsi="Times New Roman" w:cs="Times New Roman"/>
          <w:sz w:val="24"/>
          <w:szCs w:val="24"/>
        </w:rPr>
        <w:t xml:space="preserve"> г. на КЕВР</w:t>
      </w:r>
      <w:r>
        <w:rPr>
          <w:rFonts w:ascii="Times New Roman" w:hAnsi="Times New Roman" w:cs="Times New Roman"/>
          <w:sz w:val="24"/>
          <w:szCs w:val="24"/>
        </w:rPr>
        <w:t xml:space="preserve"> включват квота за регулирания пазар на в размер на </w:t>
      </w:r>
      <w:r w:rsidRPr="00874E3C">
        <w:rPr>
          <w:rFonts w:ascii="Times New Roman" w:hAnsi="Times New Roman" w:cs="Times New Roman"/>
          <w:sz w:val="24"/>
          <w:szCs w:val="24"/>
        </w:rPr>
        <w:t>2 628 000 MWh</w:t>
      </w:r>
      <w:r>
        <w:rPr>
          <w:rFonts w:ascii="Times New Roman" w:hAnsi="Times New Roman" w:cs="Times New Roman"/>
          <w:sz w:val="24"/>
          <w:szCs w:val="24"/>
        </w:rPr>
        <w:t>.</w:t>
      </w:r>
      <w:r w:rsidR="000339CB">
        <w:rPr>
          <w:rFonts w:ascii="Times New Roman" w:hAnsi="Times New Roman" w:cs="Times New Roman"/>
          <w:sz w:val="24"/>
          <w:szCs w:val="24"/>
        </w:rPr>
        <w:t xml:space="preserve"> В тази връзка, произведената електрическа енергия от „ТЕЦ Марица изток 2“ ЕАД следва да бъде изкупена от Обществения доставчик по изчислената от КЕВР в същото решение еднокомпонентна цена в размер на </w:t>
      </w:r>
      <w:r w:rsidR="000339CB" w:rsidRPr="000339CB">
        <w:rPr>
          <w:rFonts w:ascii="Times New Roman" w:hAnsi="Times New Roman" w:cs="Times New Roman"/>
          <w:sz w:val="24"/>
          <w:szCs w:val="24"/>
        </w:rPr>
        <w:t xml:space="preserve">275,98 </w:t>
      </w:r>
      <w:bookmarkStart w:id="2" w:name="_Hlk193747089"/>
      <w:r w:rsidR="000339CB" w:rsidRPr="000339CB">
        <w:rPr>
          <w:rFonts w:ascii="Times New Roman" w:hAnsi="Times New Roman" w:cs="Times New Roman"/>
          <w:sz w:val="24"/>
          <w:szCs w:val="24"/>
        </w:rPr>
        <w:t>лв./MВтч без ДДС</w:t>
      </w:r>
      <w:bookmarkEnd w:id="2"/>
      <w:r w:rsidR="000339CB">
        <w:rPr>
          <w:rFonts w:ascii="Times New Roman" w:hAnsi="Times New Roman" w:cs="Times New Roman"/>
          <w:sz w:val="24"/>
          <w:szCs w:val="24"/>
        </w:rPr>
        <w:t>. Съгласно действащите нормативни разпоредби, в миксовата цена на обществения доставчик тази енергия може да участва с</w:t>
      </w:r>
      <w:r w:rsidR="00847104">
        <w:rPr>
          <w:rFonts w:ascii="Times New Roman" w:hAnsi="Times New Roman" w:cs="Times New Roman"/>
          <w:sz w:val="24"/>
          <w:szCs w:val="24"/>
        </w:rPr>
        <w:t xml:space="preserve">ъс определената от КЕВР стойност в размер на 180,01 </w:t>
      </w:r>
      <w:r w:rsidR="00847104" w:rsidRPr="00847104">
        <w:rPr>
          <w:rFonts w:ascii="Times New Roman" w:hAnsi="Times New Roman" w:cs="Times New Roman"/>
          <w:sz w:val="24"/>
          <w:szCs w:val="24"/>
        </w:rPr>
        <w:t>лв./MВтч без ДДС</w:t>
      </w:r>
      <w:r w:rsidR="00847104">
        <w:rPr>
          <w:rFonts w:ascii="Times New Roman" w:hAnsi="Times New Roman" w:cs="Times New Roman"/>
          <w:sz w:val="24"/>
          <w:szCs w:val="24"/>
        </w:rPr>
        <w:t>, а разликата до пълната цена следва да бъде компенсирана чрез приходи от ФСЕС.</w:t>
      </w:r>
    </w:p>
    <w:p w14:paraId="58426534" w14:textId="6B38F175" w:rsidR="00004898" w:rsidRDefault="00847104" w:rsidP="00B57AFB">
      <w:pPr>
        <w:shd w:val="clear" w:color="auto" w:fill="FFFFFF"/>
        <w:spacing w:line="240" w:lineRule="auto"/>
        <w:jc w:val="both"/>
        <w:rPr>
          <w:rFonts w:ascii="Times New Roman" w:hAnsi="Times New Roman" w:cs="Times New Roman"/>
          <w:sz w:val="24"/>
          <w:szCs w:val="24"/>
        </w:rPr>
      </w:pPr>
      <w:r>
        <w:rPr>
          <w:rFonts w:ascii="Times New Roman" w:hAnsi="Times New Roman" w:cs="Times New Roman"/>
          <w:sz w:val="24"/>
          <w:szCs w:val="24"/>
        </w:rPr>
        <w:t>В обо</w:t>
      </w:r>
      <w:r w:rsidR="0017695E">
        <w:rPr>
          <w:rFonts w:ascii="Times New Roman" w:hAnsi="Times New Roman" w:cs="Times New Roman"/>
          <w:sz w:val="24"/>
          <w:szCs w:val="24"/>
        </w:rPr>
        <w:t>б</w:t>
      </w:r>
      <w:r>
        <w:rPr>
          <w:rFonts w:ascii="Times New Roman" w:hAnsi="Times New Roman" w:cs="Times New Roman"/>
          <w:sz w:val="24"/>
          <w:szCs w:val="24"/>
        </w:rPr>
        <w:t xml:space="preserve">щение, </w:t>
      </w:r>
      <w:r w:rsidR="00194AFC">
        <w:rPr>
          <w:rFonts w:ascii="Times New Roman" w:hAnsi="Times New Roman" w:cs="Times New Roman"/>
          <w:sz w:val="24"/>
          <w:szCs w:val="24"/>
        </w:rPr>
        <w:t>в</w:t>
      </w:r>
      <w:r w:rsidR="00194AFC" w:rsidRPr="00194AFC">
        <w:rPr>
          <w:rFonts w:ascii="Times New Roman" w:hAnsi="Times New Roman" w:cs="Times New Roman"/>
          <w:sz w:val="24"/>
          <w:szCs w:val="24"/>
        </w:rPr>
        <w:t xml:space="preserve"> т. IV.5. на Решение № Ц - 17 от 30.06.2024 г. за определяне на цена (средна цена на енергията за регулиран пазар, след компенсиране от Фонд „Сигурност на електроенергийната система“), по която НЕК ЕАД, в качеството на обществен доставчик, продава електрическа енергия на крайните снабдители, КЕВР е предвидила на общественият доставчик разходи в размер на 473 076 </w:t>
      </w:r>
      <w:proofErr w:type="spellStart"/>
      <w:r w:rsidR="00194AFC" w:rsidRPr="00194AFC">
        <w:rPr>
          <w:rFonts w:ascii="Times New Roman" w:hAnsi="Times New Roman" w:cs="Times New Roman"/>
          <w:sz w:val="24"/>
          <w:szCs w:val="24"/>
        </w:rPr>
        <w:t>хил.лв</w:t>
      </w:r>
      <w:proofErr w:type="spellEnd"/>
      <w:r w:rsidR="00194AFC" w:rsidRPr="00194AFC">
        <w:rPr>
          <w:rFonts w:ascii="Times New Roman" w:hAnsi="Times New Roman" w:cs="Times New Roman"/>
          <w:sz w:val="24"/>
          <w:szCs w:val="24"/>
        </w:rPr>
        <w:t xml:space="preserve">. за закупената от „ТЕЦ </w:t>
      </w:r>
      <w:r w:rsidR="00194AFC" w:rsidRPr="00194AFC">
        <w:rPr>
          <w:rFonts w:ascii="Times New Roman" w:hAnsi="Times New Roman" w:cs="Times New Roman"/>
          <w:sz w:val="24"/>
          <w:szCs w:val="24"/>
        </w:rPr>
        <w:lastRenderedPageBreak/>
        <w:t>Марица изток 2“ ЕАД електрическа енергия, при прогнозна пазарна цена от 180,01 лв./</w:t>
      </w:r>
      <w:proofErr w:type="spellStart"/>
      <w:r w:rsidR="00194AFC" w:rsidRPr="00194AFC">
        <w:rPr>
          <w:rFonts w:ascii="Times New Roman" w:hAnsi="Times New Roman" w:cs="Times New Roman"/>
          <w:sz w:val="24"/>
          <w:szCs w:val="24"/>
        </w:rPr>
        <w:t>MWh</w:t>
      </w:r>
      <w:proofErr w:type="spellEnd"/>
      <w:r w:rsidR="00194AFC">
        <w:rPr>
          <w:rFonts w:ascii="Times New Roman" w:hAnsi="Times New Roman" w:cs="Times New Roman"/>
          <w:sz w:val="24"/>
          <w:szCs w:val="24"/>
        </w:rPr>
        <w:t>, а в</w:t>
      </w:r>
      <w:r w:rsidR="00194AFC" w:rsidRPr="00194AFC">
        <w:rPr>
          <w:rFonts w:ascii="Times New Roman" w:hAnsi="Times New Roman" w:cs="Times New Roman"/>
          <w:sz w:val="24"/>
          <w:szCs w:val="24"/>
        </w:rPr>
        <w:t xml:space="preserve"> т. V на Решение № Ц - 17 от 30.06.2024 г.  за определяне на цена за задължения към обществото за закупуването на електрическата енергия от „ТЕЦ Марица изток 2“ ЕАД по Заповед № Е-РД-16-310 от 31.05.2024 г.  на министъра на енергетиката са определени 252 200 хил. лв. като компенсация на обществения доставчик за изкупуване на електрическа енергия от „ТЕЦ „Марица изток 2“ ЕАД, които участват при формирането на цената за задължения към обществото.</w:t>
      </w:r>
      <w:r w:rsidR="00194AFC">
        <w:rPr>
          <w:rFonts w:ascii="Times New Roman" w:hAnsi="Times New Roman" w:cs="Times New Roman"/>
          <w:sz w:val="24"/>
          <w:szCs w:val="24"/>
        </w:rPr>
        <w:t xml:space="preserve"> </w:t>
      </w:r>
      <w:r w:rsidR="00004898" w:rsidRPr="00004898">
        <w:rPr>
          <w:rFonts w:ascii="Times New Roman" w:hAnsi="Times New Roman" w:cs="Times New Roman"/>
          <w:sz w:val="24"/>
          <w:szCs w:val="24"/>
        </w:rPr>
        <w:t>.</w:t>
      </w:r>
    </w:p>
    <w:p w14:paraId="39F48E86" w14:textId="77777777" w:rsidR="00194AFC" w:rsidRDefault="00194AFC" w:rsidP="00B57AFB">
      <w:pPr>
        <w:shd w:val="clear" w:color="auto" w:fill="FFFFFF"/>
        <w:spacing w:line="240" w:lineRule="auto"/>
        <w:jc w:val="both"/>
        <w:rPr>
          <w:rFonts w:ascii="Times New Roman" w:hAnsi="Times New Roman" w:cs="Times New Roman"/>
          <w:sz w:val="24"/>
          <w:szCs w:val="24"/>
        </w:rPr>
      </w:pPr>
      <w:r w:rsidRPr="00194AFC">
        <w:rPr>
          <w:rFonts w:ascii="Times New Roman" w:hAnsi="Times New Roman" w:cs="Times New Roman"/>
          <w:sz w:val="24"/>
          <w:szCs w:val="24"/>
        </w:rPr>
        <w:t xml:space="preserve">Със Заповед № Е-РД-16-2729/13.12.2024 г. се изменя Заповед № Е-РД-16-310 от 31.05.2024 г. на министъра на енергетиката, като количеството на общата годишна квота електроенергия, която „ТЕЦ Марица изток 2“ ЕАД следва да произведе за периода от 01.07.2024 г. до 30.06.2025 г. се променя от „до 2 628 000 </w:t>
      </w:r>
      <w:proofErr w:type="spellStart"/>
      <w:r w:rsidRPr="00194AFC">
        <w:rPr>
          <w:rFonts w:ascii="Times New Roman" w:hAnsi="Times New Roman" w:cs="Times New Roman"/>
          <w:sz w:val="24"/>
          <w:szCs w:val="24"/>
        </w:rPr>
        <w:t>MWh</w:t>
      </w:r>
      <w:proofErr w:type="spellEnd"/>
      <w:r w:rsidRPr="00194AFC">
        <w:rPr>
          <w:rFonts w:ascii="Times New Roman" w:hAnsi="Times New Roman" w:cs="Times New Roman"/>
          <w:sz w:val="24"/>
          <w:szCs w:val="24"/>
        </w:rPr>
        <w:t xml:space="preserve">“  на „до 3 155 000 </w:t>
      </w:r>
      <w:proofErr w:type="spellStart"/>
      <w:r w:rsidRPr="00194AFC">
        <w:rPr>
          <w:rFonts w:ascii="Times New Roman" w:hAnsi="Times New Roman" w:cs="Times New Roman"/>
          <w:sz w:val="24"/>
          <w:szCs w:val="24"/>
        </w:rPr>
        <w:t>MWh</w:t>
      </w:r>
      <w:proofErr w:type="spellEnd"/>
      <w:r w:rsidRPr="00194AFC">
        <w:rPr>
          <w:rFonts w:ascii="Times New Roman" w:hAnsi="Times New Roman" w:cs="Times New Roman"/>
          <w:sz w:val="24"/>
          <w:szCs w:val="24"/>
        </w:rPr>
        <w:t>“</w:t>
      </w:r>
      <w:r>
        <w:rPr>
          <w:rFonts w:ascii="Times New Roman" w:hAnsi="Times New Roman" w:cs="Times New Roman"/>
          <w:sz w:val="24"/>
          <w:szCs w:val="24"/>
        </w:rPr>
        <w:t>. Заповедта беше издадена във връзка с повишени нужди от ел. енергия за регулирания пазар на база заявки от крайните снабдители и разчети на НЕК ЕАД. Промяната в структурата на енергийния микс на обществения доставчик е породена от значително намаленото производство на енергия от ВЕЦ, собственост на „НЕК“ ЕАД, в резултат на недостиг на достатъчен обем водни ресурси. Влиянието на сезонните и климатични фактори са непредвидими за дълъг период от време, поради което значителните отклонения спрямо първоначалната прогноза, биха довели до риск за сигурността на доставките на енергийни услуги в страната.</w:t>
      </w:r>
    </w:p>
    <w:p w14:paraId="61B7DA5B" w14:textId="519B196D" w:rsidR="00E11684" w:rsidRDefault="00E11684" w:rsidP="00B57AFB">
      <w:pPr>
        <w:shd w:val="clear" w:color="auto" w:fill="FFFFFF"/>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С Решение № Ц-03 от 01.01.2025 г. на КЕВР е актуализирана квота, с която „ТЕЦ Марица изток 2“ ЕАД участва на регулирания пазар на </w:t>
      </w:r>
      <w:r w:rsidRPr="00E11684">
        <w:rPr>
          <w:rFonts w:ascii="Times New Roman" w:hAnsi="Times New Roman" w:cs="Times New Roman"/>
          <w:sz w:val="24"/>
          <w:szCs w:val="24"/>
        </w:rPr>
        <w:t>3 155</w:t>
      </w:r>
      <w:r>
        <w:rPr>
          <w:rFonts w:ascii="Times New Roman" w:hAnsi="Times New Roman" w:cs="Times New Roman"/>
          <w:sz w:val="24"/>
          <w:szCs w:val="24"/>
        </w:rPr>
        <w:t> </w:t>
      </w:r>
      <w:r w:rsidRPr="00E11684">
        <w:rPr>
          <w:rFonts w:ascii="Times New Roman" w:hAnsi="Times New Roman" w:cs="Times New Roman"/>
          <w:sz w:val="24"/>
          <w:szCs w:val="24"/>
        </w:rPr>
        <w:t>000</w:t>
      </w:r>
      <w:r>
        <w:rPr>
          <w:rFonts w:ascii="Times New Roman" w:hAnsi="Times New Roman" w:cs="Times New Roman"/>
          <w:sz w:val="24"/>
          <w:szCs w:val="24"/>
        </w:rPr>
        <w:t xml:space="preserve"> МВтч. Допълнителните количества, които дружеството ще предостави на обществения доставчик са 527 000 МВтч и са разпределени в решението </w:t>
      </w:r>
      <w:proofErr w:type="spellStart"/>
      <w:r>
        <w:rPr>
          <w:rFonts w:ascii="Times New Roman" w:hAnsi="Times New Roman" w:cs="Times New Roman"/>
          <w:sz w:val="24"/>
          <w:szCs w:val="24"/>
        </w:rPr>
        <w:t>помесечно</w:t>
      </w:r>
      <w:proofErr w:type="spellEnd"/>
      <w:r w:rsidR="00194AFC">
        <w:rPr>
          <w:rFonts w:ascii="Times New Roman" w:hAnsi="Times New Roman" w:cs="Times New Roman"/>
          <w:sz w:val="24"/>
          <w:szCs w:val="24"/>
        </w:rPr>
        <w:t>.</w:t>
      </w:r>
      <w:r>
        <w:rPr>
          <w:rFonts w:ascii="Times New Roman" w:hAnsi="Times New Roman" w:cs="Times New Roman"/>
          <w:sz w:val="24"/>
          <w:szCs w:val="24"/>
        </w:rPr>
        <w:t xml:space="preserve"> .</w:t>
      </w:r>
    </w:p>
    <w:p w14:paraId="7EFCEADD" w14:textId="7E561E01" w:rsidR="00E11684" w:rsidRDefault="00E11684" w:rsidP="00B57AFB">
      <w:pPr>
        <w:shd w:val="clear" w:color="auto" w:fill="FFFFFF"/>
        <w:spacing w:line="240" w:lineRule="auto"/>
        <w:jc w:val="both"/>
        <w:rPr>
          <w:rFonts w:ascii="Times New Roman" w:hAnsi="Times New Roman" w:cs="Times New Roman"/>
          <w:sz w:val="24"/>
          <w:szCs w:val="24"/>
        </w:rPr>
      </w:pPr>
    </w:p>
    <w:p w14:paraId="6F35D83B" w14:textId="1EFC14CA" w:rsidR="0096458A" w:rsidRDefault="0096458A" w:rsidP="00B57AFB">
      <w:pPr>
        <w:shd w:val="clear" w:color="auto" w:fill="FFFFFF"/>
        <w:spacing w:line="240" w:lineRule="auto"/>
        <w:jc w:val="both"/>
        <w:rPr>
          <w:rFonts w:ascii="Times New Roman" w:hAnsi="Times New Roman" w:cs="Times New Roman"/>
          <w:sz w:val="24"/>
          <w:szCs w:val="24"/>
        </w:rPr>
      </w:pPr>
      <w:r w:rsidRPr="0096458A">
        <w:rPr>
          <w:rFonts w:ascii="Times New Roman" w:hAnsi="Times New Roman" w:cs="Times New Roman"/>
          <w:sz w:val="24"/>
          <w:szCs w:val="24"/>
        </w:rPr>
        <w:t>С решение Ц-17 от 30.06.2024 г. бяха променени и други цени, които имат отношение към дейността на „ТЕЦ Марица изток 2“ ЕАД.</w:t>
      </w:r>
    </w:p>
    <w:p w14:paraId="021FC054" w14:textId="77777777" w:rsidR="003D51C0" w:rsidRPr="00B57AFB" w:rsidRDefault="00194AFC" w:rsidP="00B57AFB">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Беше променена прогнозната пазарна цена, използвана от КЕВР при определяне на цените на участниците в микса за регулирания пазар. На база отчетени данни за второто полугодие на 2024 г. и актуализирани прогнози КЕВР увеличава предвижданията за пазарната цена за базов товар </w:t>
      </w:r>
      <w:r w:rsidRPr="00B57AFB">
        <w:rPr>
          <w:rFonts w:ascii="Times New Roman" w:hAnsi="Times New Roman" w:cs="Times New Roman"/>
          <w:sz w:val="24"/>
          <w:szCs w:val="24"/>
        </w:rPr>
        <w:t xml:space="preserve">от 173,09 </w:t>
      </w:r>
      <w:proofErr w:type="spellStart"/>
      <w:r w:rsidRPr="00B57AFB">
        <w:rPr>
          <w:rFonts w:ascii="Times New Roman" w:hAnsi="Times New Roman" w:cs="Times New Roman"/>
          <w:sz w:val="24"/>
          <w:szCs w:val="24"/>
        </w:rPr>
        <w:t>лв</w:t>
      </w:r>
      <w:proofErr w:type="spellEnd"/>
      <w:r w:rsidRPr="00B57AFB">
        <w:rPr>
          <w:rFonts w:ascii="Times New Roman" w:hAnsi="Times New Roman" w:cs="Times New Roman"/>
          <w:sz w:val="24"/>
          <w:szCs w:val="24"/>
        </w:rPr>
        <w:t>/</w:t>
      </w:r>
      <w:proofErr w:type="spellStart"/>
      <w:r w:rsidRPr="00B57AFB">
        <w:rPr>
          <w:rFonts w:ascii="Times New Roman" w:hAnsi="Times New Roman" w:cs="Times New Roman"/>
          <w:sz w:val="24"/>
          <w:szCs w:val="24"/>
        </w:rPr>
        <w:t>МВТч</w:t>
      </w:r>
      <w:proofErr w:type="spellEnd"/>
      <w:r w:rsidRPr="00B57AFB">
        <w:rPr>
          <w:rFonts w:ascii="Times New Roman" w:hAnsi="Times New Roman" w:cs="Times New Roman"/>
          <w:sz w:val="24"/>
          <w:szCs w:val="24"/>
        </w:rPr>
        <w:t xml:space="preserve"> на 212,21 </w:t>
      </w:r>
      <w:proofErr w:type="spellStart"/>
      <w:r w:rsidRPr="00B57AFB">
        <w:rPr>
          <w:rFonts w:ascii="Times New Roman" w:hAnsi="Times New Roman" w:cs="Times New Roman"/>
          <w:sz w:val="24"/>
          <w:szCs w:val="24"/>
        </w:rPr>
        <w:t>лв</w:t>
      </w:r>
      <w:proofErr w:type="spellEnd"/>
      <w:r w:rsidRPr="00B57AFB">
        <w:rPr>
          <w:rFonts w:ascii="Times New Roman" w:hAnsi="Times New Roman" w:cs="Times New Roman"/>
          <w:sz w:val="24"/>
          <w:szCs w:val="24"/>
        </w:rPr>
        <w:t>/</w:t>
      </w:r>
      <w:proofErr w:type="spellStart"/>
      <w:r w:rsidRPr="00B57AFB">
        <w:rPr>
          <w:rFonts w:ascii="Times New Roman" w:hAnsi="Times New Roman" w:cs="Times New Roman"/>
          <w:sz w:val="24"/>
          <w:szCs w:val="24"/>
        </w:rPr>
        <w:t>МВтч</w:t>
      </w:r>
      <w:proofErr w:type="spellEnd"/>
      <w:r w:rsidRPr="00B57AFB">
        <w:rPr>
          <w:rFonts w:ascii="Times New Roman" w:hAnsi="Times New Roman" w:cs="Times New Roman"/>
          <w:sz w:val="24"/>
          <w:szCs w:val="24"/>
        </w:rPr>
        <w:t xml:space="preserve">. </w:t>
      </w:r>
      <w:r w:rsidR="003D51C0" w:rsidRPr="00B57AFB">
        <w:rPr>
          <w:rFonts w:ascii="Times New Roman" w:hAnsi="Times New Roman" w:cs="Times New Roman"/>
          <w:sz w:val="24"/>
          <w:szCs w:val="24"/>
        </w:rPr>
        <w:t>Във връзка с изпратено становище от НЕК ЕАД на стр. 3 в Решение № Ц-3 от 01.01.2025 г</w:t>
      </w:r>
      <w:r w:rsidR="003D51C0" w:rsidRPr="00B57AFB">
        <w:rPr>
          <w:rFonts w:ascii="Times New Roman" w:hAnsi="Times New Roman" w:cs="Times New Roman"/>
          <w:b/>
          <w:sz w:val="24"/>
          <w:szCs w:val="24"/>
        </w:rPr>
        <w:t>.</w:t>
      </w:r>
      <w:r w:rsidR="003D51C0" w:rsidRPr="00B57AFB">
        <w:rPr>
          <w:rFonts w:ascii="Times New Roman" w:hAnsi="Times New Roman" w:cs="Times New Roman"/>
          <w:sz w:val="24"/>
          <w:szCs w:val="24"/>
        </w:rPr>
        <w:t xml:space="preserve">  КЕВР пояснява, че „</w:t>
      </w:r>
      <w:r w:rsidR="003D51C0" w:rsidRPr="00B57AFB">
        <w:rPr>
          <w:rFonts w:ascii="Times New Roman" w:hAnsi="Times New Roman" w:cs="Times New Roman"/>
          <w:i/>
          <w:sz w:val="24"/>
          <w:szCs w:val="24"/>
        </w:rPr>
        <w:t>за количествата, изкупени през първото полугодие на 2025 г., НЕК ЕАД следва да получи компенсация (след представяне на необходимите документи, доказващи направените разходи) в размер равен на произведението от изкупените количества електрическа енергия и отношението между определените разходи на Фонда за съответния производител/група производители и определената обща квота за регулаторния период за този производител/група производители, определени в настоящото решение. Например за количествата закупена електрическа енергия от „ТЕЦ Марица изток 2“ ЕАД до 31.12.2024 г. компенсацията, която ФСЕС следва да изплати на обществения доставчик, е в размер на 275,98-180,01=95,97 лв./</w:t>
      </w:r>
      <w:proofErr w:type="spellStart"/>
      <w:r w:rsidR="003D51C0" w:rsidRPr="00B57AFB">
        <w:rPr>
          <w:rFonts w:ascii="Times New Roman" w:hAnsi="Times New Roman" w:cs="Times New Roman"/>
          <w:i/>
          <w:sz w:val="24"/>
          <w:szCs w:val="24"/>
        </w:rPr>
        <w:t>MWh</w:t>
      </w:r>
      <w:proofErr w:type="spellEnd"/>
      <w:r w:rsidR="003D51C0" w:rsidRPr="00B57AFB">
        <w:rPr>
          <w:rFonts w:ascii="Times New Roman" w:hAnsi="Times New Roman" w:cs="Times New Roman"/>
          <w:i/>
          <w:sz w:val="24"/>
          <w:szCs w:val="24"/>
        </w:rPr>
        <w:t>, а за тази след 31.12.2024 г. – в размер на 275,98-200,52=75,46 лв./</w:t>
      </w:r>
      <w:proofErr w:type="spellStart"/>
      <w:r w:rsidR="003D51C0" w:rsidRPr="00B57AFB">
        <w:rPr>
          <w:rFonts w:ascii="Times New Roman" w:hAnsi="Times New Roman" w:cs="Times New Roman"/>
          <w:i/>
          <w:sz w:val="24"/>
          <w:szCs w:val="24"/>
        </w:rPr>
        <w:t>MWh</w:t>
      </w:r>
      <w:proofErr w:type="spellEnd"/>
      <w:r w:rsidR="003D51C0" w:rsidRPr="00B57AFB">
        <w:rPr>
          <w:rFonts w:ascii="Times New Roman" w:hAnsi="Times New Roman" w:cs="Times New Roman"/>
          <w:i/>
          <w:sz w:val="24"/>
          <w:szCs w:val="24"/>
        </w:rPr>
        <w:t>.“</w:t>
      </w:r>
      <w:r w:rsidR="003D51C0" w:rsidRPr="003D51C0">
        <w:rPr>
          <w:rFonts w:ascii="Times New Roman" w:hAnsi="Times New Roman" w:cs="Times New Roman"/>
          <w:i/>
          <w:sz w:val="24"/>
          <w:szCs w:val="24"/>
        </w:rPr>
        <w:t xml:space="preserve">. </w:t>
      </w:r>
      <w:r w:rsidR="003D51C0" w:rsidRPr="00B57AFB">
        <w:rPr>
          <w:rFonts w:ascii="Times New Roman" w:hAnsi="Times New Roman" w:cs="Times New Roman"/>
          <w:sz w:val="24"/>
          <w:szCs w:val="24"/>
        </w:rPr>
        <w:t xml:space="preserve">В раздел III. на Решение № Ц-3 от 01.01.2025 г. е записано, че при формирането на средната покупна цена за електрическа енергия на обществения доставчик (стр. 12) „ТЕЦ Марица изток 2“ ЕАД участва с квота от 3 155 000 </w:t>
      </w:r>
      <w:proofErr w:type="spellStart"/>
      <w:r w:rsidR="003D51C0" w:rsidRPr="00B57AFB">
        <w:rPr>
          <w:rFonts w:ascii="Times New Roman" w:hAnsi="Times New Roman" w:cs="Times New Roman"/>
          <w:sz w:val="24"/>
          <w:szCs w:val="24"/>
        </w:rPr>
        <w:t>MWh</w:t>
      </w:r>
      <w:proofErr w:type="spellEnd"/>
      <w:r w:rsidR="003D51C0" w:rsidRPr="00B57AFB">
        <w:rPr>
          <w:rFonts w:ascii="Times New Roman" w:hAnsi="Times New Roman" w:cs="Times New Roman"/>
          <w:sz w:val="24"/>
          <w:szCs w:val="24"/>
        </w:rPr>
        <w:t xml:space="preserve"> и средна цена 275,98 лв./</w:t>
      </w:r>
      <w:proofErr w:type="spellStart"/>
      <w:r w:rsidR="003D51C0" w:rsidRPr="00B57AFB">
        <w:rPr>
          <w:rFonts w:ascii="Times New Roman" w:hAnsi="Times New Roman" w:cs="Times New Roman"/>
          <w:sz w:val="24"/>
          <w:szCs w:val="24"/>
        </w:rPr>
        <w:t>MWh</w:t>
      </w:r>
      <w:proofErr w:type="spellEnd"/>
      <w:r w:rsidR="003D51C0" w:rsidRPr="00B57AFB">
        <w:rPr>
          <w:rFonts w:ascii="Times New Roman" w:hAnsi="Times New Roman" w:cs="Times New Roman"/>
          <w:sz w:val="24"/>
          <w:szCs w:val="24"/>
        </w:rPr>
        <w:t xml:space="preserve">, а при формиране на </w:t>
      </w:r>
      <w:proofErr w:type="spellStart"/>
      <w:r w:rsidR="003D51C0" w:rsidRPr="00B57AFB">
        <w:rPr>
          <w:rFonts w:ascii="Times New Roman" w:hAnsi="Times New Roman" w:cs="Times New Roman"/>
          <w:sz w:val="24"/>
          <w:szCs w:val="24"/>
        </w:rPr>
        <w:t>миксовата</w:t>
      </w:r>
      <w:proofErr w:type="spellEnd"/>
      <w:r w:rsidR="003D51C0" w:rsidRPr="00B57AFB">
        <w:rPr>
          <w:rFonts w:ascii="Times New Roman" w:hAnsi="Times New Roman" w:cs="Times New Roman"/>
          <w:sz w:val="24"/>
          <w:szCs w:val="24"/>
        </w:rPr>
        <w:t xml:space="preserve"> цена за енергия за клиентите на регулирания пазар (т.е. средна цена на </w:t>
      </w:r>
      <w:r w:rsidR="003D51C0" w:rsidRPr="00B57AFB">
        <w:rPr>
          <w:rFonts w:ascii="Times New Roman" w:hAnsi="Times New Roman" w:cs="Times New Roman"/>
          <w:sz w:val="24"/>
          <w:szCs w:val="24"/>
        </w:rPr>
        <w:lastRenderedPageBreak/>
        <w:t>енергията за регулиран пазар, след компенсиране от ФСЕС) (стр.13), съответно с 200,52 лв./</w:t>
      </w:r>
      <w:proofErr w:type="spellStart"/>
      <w:r w:rsidR="003D51C0" w:rsidRPr="00B57AFB">
        <w:rPr>
          <w:rFonts w:ascii="Times New Roman" w:hAnsi="Times New Roman" w:cs="Times New Roman"/>
          <w:sz w:val="24"/>
          <w:szCs w:val="24"/>
        </w:rPr>
        <w:t>MWh</w:t>
      </w:r>
      <w:proofErr w:type="spellEnd"/>
      <w:r w:rsidR="003D51C0" w:rsidRPr="00B57AFB">
        <w:rPr>
          <w:rFonts w:ascii="Times New Roman" w:hAnsi="Times New Roman" w:cs="Times New Roman"/>
          <w:sz w:val="24"/>
          <w:szCs w:val="24"/>
        </w:rPr>
        <w:t xml:space="preserve">. </w:t>
      </w:r>
      <w:bookmarkStart w:id="3" w:name="_Hlk188522054"/>
      <w:r w:rsidR="003D51C0" w:rsidRPr="00B57AFB">
        <w:rPr>
          <w:rFonts w:ascii="Times New Roman" w:hAnsi="Times New Roman" w:cs="Times New Roman"/>
          <w:sz w:val="24"/>
          <w:szCs w:val="24"/>
        </w:rPr>
        <w:t xml:space="preserve">Общите разходи за производство на 3 155 000 </w:t>
      </w:r>
      <w:proofErr w:type="spellStart"/>
      <w:r w:rsidR="003D51C0" w:rsidRPr="00B57AFB">
        <w:rPr>
          <w:rFonts w:ascii="Times New Roman" w:hAnsi="Times New Roman" w:cs="Times New Roman"/>
          <w:sz w:val="24"/>
          <w:szCs w:val="24"/>
        </w:rPr>
        <w:t>MWh</w:t>
      </w:r>
      <w:proofErr w:type="spellEnd"/>
      <w:r w:rsidR="003D51C0" w:rsidRPr="00B57AFB">
        <w:rPr>
          <w:rFonts w:ascii="Times New Roman" w:hAnsi="Times New Roman" w:cs="Times New Roman"/>
          <w:sz w:val="24"/>
          <w:szCs w:val="24"/>
        </w:rPr>
        <w:t xml:space="preserve"> електрическа енергия от „ТЕЦ Марица изток 2“ ЕАД са изчислени от КЕВР в размер на </w:t>
      </w:r>
      <w:r w:rsidR="003D51C0" w:rsidRPr="00B57AFB">
        <w:rPr>
          <w:rFonts w:ascii="Times New Roman" w:hAnsi="Times New Roman" w:cs="Times New Roman"/>
          <w:iCs/>
          <w:sz w:val="24"/>
          <w:szCs w:val="24"/>
        </w:rPr>
        <w:t>870 717</w:t>
      </w:r>
      <w:r w:rsidR="003D51C0" w:rsidRPr="00B57AFB">
        <w:rPr>
          <w:rFonts w:ascii="Times New Roman" w:hAnsi="Times New Roman" w:cs="Times New Roman"/>
          <w:sz w:val="24"/>
          <w:szCs w:val="24"/>
        </w:rPr>
        <w:t xml:space="preserve"> хил. лева</w:t>
      </w:r>
      <w:bookmarkEnd w:id="3"/>
      <w:r w:rsidR="003D51C0" w:rsidRPr="00B57AFB">
        <w:rPr>
          <w:rFonts w:ascii="Times New Roman" w:hAnsi="Times New Roman" w:cs="Times New Roman"/>
          <w:sz w:val="24"/>
          <w:szCs w:val="24"/>
        </w:rPr>
        <w:t>.</w:t>
      </w:r>
      <w:r w:rsidR="003D51C0">
        <w:rPr>
          <w:rFonts w:ascii="Times New Roman" w:hAnsi="Times New Roman" w:cs="Times New Roman"/>
          <w:sz w:val="24"/>
          <w:szCs w:val="24"/>
        </w:rPr>
        <w:t xml:space="preserve"> </w:t>
      </w:r>
      <w:r w:rsidR="003D51C0" w:rsidRPr="00B57AFB">
        <w:rPr>
          <w:rFonts w:ascii="Times New Roman" w:hAnsi="Times New Roman" w:cs="Times New Roman"/>
          <w:sz w:val="24"/>
          <w:szCs w:val="24"/>
        </w:rPr>
        <w:t xml:space="preserve">В същия раздел е записано, че </w:t>
      </w:r>
      <w:r w:rsidR="003D51C0" w:rsidRPr="00B57AFB">
        <w:rPr>
          <w:rFonts w:ascii="Times New Roman" w:hAnsi="Times New Roman" w:cs="Times New Roman"/>
          <w:i/>
          <w:sz w:val="24"/>
          <w:szCs w:val="24"/>
        </w:rPr>
        <w:t>„Разходите за електрическа енергия от „ТЕЦ Марица изток 2“ ЕАД във връзка със Заповед № Е-РД-16-310 от 31.05.2024 г., изменена със Заповед № Е-РД-16-2729 от 13.12.2024 г., на министъра на енергетиката, издадена на основание чл. 4, ал. 2, т. 8 от ЗЕ, са определени въз основа на изчислената в Решение № Ц-17 от 30.06.2024 г. цена на дружеството.“</w:t>
      </w:r>
    </w:p>
    <w:p w14:paraId="7FB5485D" w14:textId="18769EEB" w:rsidR="0096458A" w:rsidRPr="0096458A" w:rsidRDefault="003D51C0" w:rsidP="00B57AFB">
      <w:pPr>
        <w:shd w:val="clear" w:color="auto" w:fill="FFFFFF"/>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Взаимоотношенията между „ТЕЦ Марица изток 2“ ЕАД и НЕК ЕАД  във връзка с изпълнение на заповедите на министъра на енергетиката и решенията на КЕВР бяха регламентирани чрез подписване на споразумение </w:t>
      </w:r>
      <w:r w:rsidRPr="003D51C0">
        <w:rPr>
          <w:rFonts w:ascii="Times New Roman" w:hAnsi="Times New Roman" w:cs="Times New Roman"/>
          <w:sz w:val="24"/>
          <w:szCs w:val="24"/>
        </w:rPr>
        <w:t>НЕК ЕАД № 24 ИE - 1123001/31.07.2024 г. / ТЕЦ МИ2 № 19178/31.07.2024 г.</w:t>
      </w:r>
      <w:r>
        <w:rPr>
          <w:rFonts w:ascii="Times New Roman" w:hAnsi="Times New Roman" w:cs="Times New Roman"/>
          <w:sz w:val="24"/>
          <w:szCs w:val="24"/>
        </w:rPr>
        <w:t xml:space="preserve">, както и допълнително споразумение към него в сила от 01.01.2025 г. </w:t>
      </w:r>
      <w:r w:rsidR="0096458A" w:rsidRPr="0096458A">
        <w:rPr>
          <w:rFonts w:ascii="Times New Roman" w:hAnsi="Times New Roman" w:cs="Times New Roman"/>
          <w:sz w:val="24"/>
          <w:szCs w:val="24"/>
        </w:rPr>
        <w:t xml:space="preserve">На основание чл. 21, ал. 1, т. 8а от ЗЕ Комисията следва да определи за всеки ценови период пределна стойност на разходите на оператора на електропреносната мрежа за закупуване на </w:t>
      </w:r>
      <w:proofErr w:type="spellStart"/>
      <w:r w:rsidR="0096458A" w:rsidRPr="0096458A">
        <w:rPr>
          <w:rFonts w:ascii="Times New Roman" w:hAnsi="Times New Roman" w:cs="Times New Roman"/>
          <w:sz w:val="24"/>
          <w:szCs w:val="24"/>
        </w:rPr>
        <w:t>разполагаемост</w:t>
      </w:r>
      <w:proofErr w:type="spellEnd"/>
      <w:r w:rsidR="0096458A" w:rsidRPr="0096458A">
        <w:rPr>
          <w:rFonts w:ascii="Times New Roman" w:hAnsi="Times New Roman" w:cs="Times New Roman"/>
          <w:sz w:val="24"/>
          <w:szCs w:val="24"/>
        </w:rPr>
        <w:t xml:space="preserve"> за допълнителни услуги по реда на чл. 105, ал. 2 от ЗЕ, а именно: закупуване на </w:t>
      </w:r>
      <w:proofErr w:type="spellStart"/>
      <w:r w:rsidR="0096458A" w:rsidRPr="0096458A">
        <w:rPr>
          <w:rFonts w:ascii="Times New Roman" w:hAnsi="Times New Roman" w:cs="Times New Roman"/>
          <w:sz w:val="24"/>
          <w:szCs w:val="24"/>
        </w:rPr>
        <w:t>разполагаемост</w:t>
      </w:r>
      <w:proofErr w:type="spellEnd"/>
      <w:r w:rsidR="0096458A" w:rsidRPr="0096458A">
        <w:rPr>
          <w:rFonts w:ascii="Times New Roman" w:hAnsi="Times New Roman" w:cs="Times New Roman"/>
          <w:sz w:val="24"/>
          <w:szCs w:val="24"/>
        </w:rPr>
        <w:t xml:space="preserve"> за резерви за първично регулиране на честотата, автоматично вторично регулиране и ръчно вторично регулиране на честотата и обменните мощности въз основа на тръжна процедура. В тази връзка като ценообразуващи елементи са включени:</w:t>
      </w:r>
    </w:p>
    <w:p w14:paraId="68A61E94" w14:textId="77777777" w:rsidR="0096458A" w:rsidRPr="0096458A" w:rsidRDefault="0096458A" w:rsidP="00B57AFB">
      <w:pPr>
        <w:shd w:val="clear" w:color="auto" w:fill="FFFFFF"/>
        <w:spacing w:line="240" w:lineRule="auto"/>
        <w:jc w:val="both"/>
        <w:rPr>
          <w:rFonts w:ascii="Times New Roman" w:hAnsi="Times New Roman" w:cs="Times New Roman"/>
          <w:sz w:val="24"/>
          <w:szCs w:val="24"/>
        </w:rPr>
      </w:pPr>
      <w:r w:rsidRPr="0096458A">
        <w:rPr>
          <w:rFonts w:ascii="Times New Roman" w:hAnsi="Times New Roman" w:cs="Times New Roman"/>
          <w:sz w:val="24"/>
          <w:szCs w:val="24"/>
        </w:rPr>
        <w:t xml:space="preserve">− резерв за първично регулиране на честотата (FCR) – 45 MW, </w:t>
      </w:r>
      <w:proofErr w:type="spellStart"/>
      <w:r w:rsidRPr="0096458A">
        <w:rPr>
          <w:rFonts w:ascii="Times New Roman" w:hAnsi="Times New Roman" w:cs="Times New Roman"/>
          <w:sz w:val="24"/>
          <w:szCs w:val="24"/>
        </w:rPr>
        <w:t>остойностен</w:t>
      </w:r>
      <w:proofErr w:type="spellEnd"/>
      <w:r w:rsidRPr="0096458A">
        <w:rPr>
          <w:rFonts w:ascii="Times New Roman" w:hAnsi="Times New Roman" w:cs="Times New Roman"/>
          <w:sz w:val="24"/>
          <w:szCs w:val="24"/>
        </w:rPr>
        <w:t xml:space="preserve"> по 50,00 лв./MW*h;</w:t>
      </w:r>
    </w:p>
    <w:p w14:paraId="47F00B47" w14:textId="77777777" w:rsidR="0096458A" w:rsidRPr="0096458A" w:rsidRDefault="0096458A" w:rsidP="00B57AFB">
      <w:pPr>
        <w:shd w:val="clear" w:color="auto" w:fill="FFFFFF"/>
        <w:spacing w:line="240" w:lineRule="auto"/>
        <w:jc w:val="both"/>
        <w:rPr>
          <w:rFonts w:ascii="Times New Roman" w:hAnsi="Times New Roman" w:cs="Times New Roman"/>
          <w:sz w:val="24"/>
          <w:szCs w:val="24"/>
        </w:rPr>
      </w:pPr>
      <w:r w:rsidRPr="0096458A">
        <w:rPr>
          <w:rFonts w:ascii="Times New Roman" w:hAnsi="Times New Roman" w:cs="Times New Roman"/>
          <w:sz w:val="24"/>
          <w:szCs w:val="24"/>
        </w:rPr>
        <w:t>− резерв за автоматично вторично регулиране на честотата и обменните мощности (</w:t>
      </w:r>
      <w:proofErr w:type="spellStart"/>
      <w:r w:rsidRPr="0096458A">
        <w:rPr>
          <w:rFonts w:ascii="Times New Roman" w:hAnsi="Times New Roman" w:cs="Times New Roman"/>
          <w:sz w:val="24"/>
          <w:szCs w:val="24"/>
        </w:rPr>
        <w:t>aFRR</w:t>
      </w:r>
      <w:proofErr w:type="spellEnd"/>
      <w:r w:rsidRPr="0096458A">
        <w:rPr>
          <w:rFonts w:ascii="Times New Roman" w:hAnsi="Times New Roman" w:cs="Times New Roman"/>
          <w:sz w:val="24"/>
          <w:szCs w:val="24"/>
        </w:rPr>
        <w:t xml:space="preserve">) – 155 MW, </w:t>
      </w:r>
      <w:proofErr w:type="spellStart"/>
      <w:r w:rsidRPr="0096458A">
        <w:rPr>
          <w:rFonts w:ascii="Times New Roman" w:hAnsi="Times New Roman" w:cs="Times New Roman"/>
          <w:sz w:val="24"/>
          <w:szCs w:val="24"/>
        </w:rPr>
        <w:t>остойностен</w:t>
      </w:r>
      <w:proofErr w:type="spellEnd"/>
      <w:r w:rsidRPr="0096458A">
        <w:rPr>
          <w:rFonts w:ascii="Times New Roman" w:hAnsi="Times New Roman" w:cs="Times New Roman"/>
          <w:sz w:val="24"/>
          <w:szCs w:val="24"/>
        </w:rPr>
        <w:t xml:space="preserve"> по 50,00 лв./MW*h;</w:t>
      </w:r>
    </w:p>
    <w:p w14:paraId="74387B2F" w14:textId="77777777" w:rsidR="002C415C" w:rsidRDefault="002C415C" w:rsidP="003D51C0">
      <w:pPr>
        <w:spacing w:after="0" w:line="240" w:lineRule="auto"/>
        <w:jc w:val="both"/>
        <w:rPr>
          <w:rFonts w:ascii="Times New Roman" w:eastAsia="Times New Roman" w:hAnsi="Times New Roman" w:cs="Times New Roman"/>
          <w:sz w:val="24"/>
          <w:szCs w:val="24"/>
          <w:lang w:eastAsia="bg-BG"/>
        </w:rPr>
      </w:pPr>
    </w:p>
    <w:p w14:paraId="56AED856" w14:textId="5A98CCA4" w:rsidR="00F84C2A" w:rsidRPr="00257C90" w:rsidRDefault="00F84C2A">
      <w:pPr>
        <w:pStyle w:val="ListParagraph"/>
        <w:numPr>
          <w:ilvl w:val="0"/>
          <w:numId w:val="1"/>
        </w:numPr>
        <w:spacing w:after="0" w:line="240" w:lineRule="auto"/>
        <w:jc w:val="both"/>
        <w:rPr>
          <w:rFonts w:ascii="Times New Roman" w:eastAsia="Times New Roman" w:hAnsi="Times New Roman" w:cs="Times New Roman"/>
          <w:b/>
          <w:sz w:val="24"/>
          <w:szCs w:val="24"/>
          <w:lang w:eastAsia="bg-BG"/>
        </w:rPr>
      </w:pPr>
      <w:r w:rsidRPr="00257C90">
        <w:rPr>
          <w:rFonts w:ascii="Times New Roman" w:eastAsia="Times New Roman" w:hAnsi="Times New Roman" w:cs="Times New Roman"/>
          <w:b/>
          <w:sz w:val="24"/>
          <w:szCs w:val="24"/>
          <w:lang w:eastAsia="bg-BG"/>
        </w:rPr>
        <w:t>Ценова рамка на „ТЕЦ Марица изток 2“ ЕАД за нов</w:t>
      </w:r>
      <w:r w:rsidR="006B0F18">
        <w:rPr>
          <w:rFonts w:ascii="Times New Roman" w:eastAsia="Times New Roman" w:hAnsi="Times New Roman" w:cs="Times New Roman"/>
          <w:b/>
          <w:sz w:val="24"/>
          <w:szCs w:val="24"/>
          <w:lang w:eastAsia="bg-BG"/>
        </w:rPr>
        <w:t xml:space="preserve">ия регулаторен период </w:t>
      </w:r>
      <w:r w:rsidR="006B0F18" w:rsidRPr="002A06AC">
        <w:rPr>
          <w:rFonts w:ascii="Times New Roman" w:eastAsia="Times New Roman" w:hAnsi="Times New Roman" w:cs="Times New Roman"/>
          <w:b/>
          <w:sz w:val="24"/>
          <w:szCs w:val="24"/>
          <w:lang w:eastAsia="bg-BG"/>
        </w:rPr>
        <w:t>01.07.</w:t>
      </w:r>
      <w:r w:rsidR="00031C79" w:rsidRPr="002A06AC">
        <w:rPr>
          <w:rFonts w:ascii="Times New Roman" w:eastAsia="Times New Roman" w:hAnsi="Times New Roman" w:cs="Times New Roman"/>
          <w:b/>
          <w:sz w:val="24"/>
          <w:szCs w:val="24"/>
          <w:lang w:eastAsia="bg-BG"/>
        </w:rPr>
        <w:t>202</w:t>
      </w:r>
      <w:r w:rsidR="00D237CC">
        <w:rPr>
          <w:rFonts w:ascii="Times New Roman" w:eastAsia="Times New Roman" w:hAnsi="Times New Roman" w:cs="Times New Roman"/>
          <w:b/>
          <w:sz w:val="24"/>
          <w:szCs w:val="24"/>
          <w:lang w:eastAsia="bg-BG"/>
        </w:rPr>
        <w:t>5</w:t>
      </w:r>
      <w:r w:rsidR="00031C79" w:rsidRPr="00F113DA">
        <w:rPr>
          <w:rFonts w:ascii="Times New Roman" w:eastAsia="Times New Roman" w:hAnsi="Times New Roman" w:cs="Times New Roman"/>
          <w:b/>
          <w:sz w:val="24"/>
          <w:szCs w:val="24"/>
          <w:lang w:eastAsia="bg-BG"/>
        </w:rPr>
        <w:t xml:space="preserve"> </w:t>
      </w:r>
      <w:r w:rsidR="006B0F18" w:rsidRPr="00F113DA">
        <w:rPr>
          <w:rFonts w:ascii="Times New Roman" w:eastAsia="Times New Roman" w:hAnsi="Times New Roman" w:cs="Times New Roman"/>
          <w:b/>
          <w:sz w:val="24"/>
          <w:szCs w:val="24"/>
          <w:lang w:eastAsia="bg-BG"/>
        </w:rPr>
        <w:t>– 30.06.</w:t>
      </w:r>
      <w:r w:rsidR="00031C79" w:rsidRPr="00F113DA">
        <w:rPr>
          <w:rFonts w:ascii="Times New Roman" w:eastAsia="Times New Roman" w:hAnsi="Times New Roman" w:cs="Times New Roman"/>
          <w:b/>
          <w:sz w:val="24"/>
          <w:szCs w:val="24"/>
          <w:lang w:eastAsia="bg-BG"/>
        </w:rPr>
        <w:t>202</w:t>
      </w:r>
      <w:r w:rsidR="00D237CC">
        <w:rPr>
          <w:rFonts w:ascii="Times New Roman" w:eastAsia="Times New Roman" w:hAnsi="Times New Roman" w:cs="Times New Roman"/>
          <w:b/>
          <w:sz w:val="24"/>
          <w:szCs w:val="24"/>
          <w:lang w:eastAsia="bg-BG"/>
        </w:rPr>
        <w:t>6</w:t>
      </w:r>
      <w:r w:rsidR="00031C79" w:rsidRPr="00F113DA">
        <w:rPr>
          <w:rFonts w:ascii="Times New Roman" w:eastAsia="Times New Roman" w:hAnsi="Times New Roman" w:cs="Times New Roman"/>
          <w:b/>
          <w:sz w:val="24"/>
          <w:szCs w:val="24"/>
          <w:lang w:eastAsia="bg-BG"/>
        </w:rPr>
        <w:t xml:space="preserve"> </w:t>
      </w:r>
      <w:r w:rsidRPr="00F113DA">
        <w:rPr>
          <w:rFonts w:ascii="Times New Roman" w:eastAsia="Times New Roman" w:hAnsi="Times New Roman" w:cs="Times New Roman"/>
          <w:b/>
          <w:sz w:val="24"/>
          <w:szCs w:val="24"/>
          <w:lang w:eastAsia="bg-BG"/>
        </w:rPr>
        <w:t>г.</w:t>
      </w:r>
    </w:p>
    <w:p w14:paraId="0CAE3682" w14:textId="77777777" w:rsidR="00F84C2A" w:rsidRDefault="00F84C2A" w:rsidP="00B57AFB">
      <w:pPr>
        <w:spacing w:line="240" w:lineRule="auto"/>
        <w:jc w:val="both"/>
        <w:rPr>
          <w:b/>
        </w:rPr>
      </w:pPr>
    </w:p>
    <w:p w14:paraId="126DD5D9" w14:textId="77777777" w:rsidR="00F84C2A" w:rsidRPr="00F84C2A" w:rsidRDefault="00F84C2A" w:rsidP="00B57AFB">
      <w:pPr>
        <w:pStyle w:val="ListParagraph"/>
        <w:numPr>
          <w:ilvl w:val="0"/>
          <w:numId w:val="2"/>
        </w:numPr>
        <w:spacing w:line="240" w:lineRule="auto"/>
        <w:jc w:val="both"/>
        <w:rPr>
          <w:rFonts w:ascii="Times New Roman" w:hAnsi="Times New Roman" w:cs="Times New Roman"/>
          <w:b/>
          <w:sz w:val="24"/>
          <w:szCs w:val="24"/>
        </w:rPr>
      </w:pPr>
      <w:r w:rsidRPr="00F84C2A">
        <w:rPr>
          <w:rFonts w:ascii="Times New Roman" w:hAnsi="Times New Roman" w:cs="Times New Roman"/>
          <w:b/>
          <w:sz w:val="24"/>
          <w:szCs w:val="24"/>
        </w:rPr>
        <w:t>Технически показатели в производството</w:t>
      </w:r>
    </w:p>
    <w:p w14:paraId="1AB1974A" w14:textId="5C46D110" w:rsidR="00513B0C" w:rsidRPr="00CC4BA0" w:rsidRDefault="00513B0C" w:rsidP="003D51C0">
      <w:pPr>
        <w:spacing w:after="120" w:line="240" w:lineRule="auto"/>
        <w:jc w:val="both"/>
        <w:rPr>
          <w:rFonts w:ascii="Times New Roman" w:hAnsi="Times New Roman" w:cs="Times New Roman"/>
          <w:sz w:val="24"/>
          <w:szCs w:val="24"/>
        </w:rPr>
      </w:pPr>
      <w:r w:rsidRPr="00CC4BA0">
        <w:rPr>
          <w:rFonts w:ascii="Times New Roman" w:hAnsi="Times New Roman" w:cs="Times New Roman"/>
          <w:sz w:val="24"/>
          <w:szCs w:val="24"/>
        </w:rPr>
        <w:t xml:space="preserve">Цената за електрическата енергия, посочена в заявлението за цени, за новия </w:t>
      </w:r>
      <w:r w:rsidR="006B0F18" w:rsidRPr="00CC4BA0">
        <w:rPr>
          <w:rFonts w:ascii="Times New Roman" w:hAnsi="Times New Roman" w:cs="Times New Roman"/>
          <w:sz w:val="24"/>
          <w:szCs w:val="24"/>
        </w:rPr>
        <w:t xml:space="preserve">регулаторен период </w:t>
      </w:r>
      <w:r w:rsidR="006B0F18" w:rsidRPr="002A06AC">
        <w:rPr>
          <w:rFonts w:ascii="Times New Roman" w:hAnsi="Times New Roman" w:cs="Times New Roman"/>
          <w:sz w:val="24"/>
          <w:szCs w:val="24"/>
        </w:rPr>
        <w:t>от 01.07.202</w:t>
      </w:r>
      <w:r w:rsidR="004A7ABE">
        <w:rPr>
          <w:rFonts w:ascii="Times New Roman" w:hAnsi="Times New Roman" w:cs="Times New Roman"/>
          <w:sz w:val="24"/>
          <w:szCs w:val="24"/>
        </w:rPr>
        <w:t>5</w:t>
      </w:r>
      <w:r w:rsidRPr="00F113DA">
        <w:rPr>
          <w:rFonts w:ascii="Times New Roman" w:hAnsi="Times New Roman" w:cs="Times New Roman"/>
          <w:sz w:val="24"/>
          <w:szCs w:val="24"/>
        </w:rPr>
        <w:t xml:space="preserve"> г. до 30.06.202</w:t>
      </w:r>
      <w:r w:rsidR="004A7ABE">
        <w:rPr>
          <w:rFonts w:ascii="Times New Roman" w:hAnsi="Times New Roman" w:cs="Times New Roman"/>
          <w:sz w:val="24"/>
          <w:szCs w:val="24"/>
        </w:rPr>
        <w:t>6</w:t>
      </w:r>
      <w:r w:rsidRPr="00F113DA">
        <w:rPr>
          <w:rFonts w:ascii="Times New Roman" w:hAnsi="Times New Roman" w:cs="Times New Roman"/>
          <w:sz w:val="24"/>
          <w:szCs w:val="24"/>
        </w:rPr>
        <w:t xml:space="preserve"> г.</w:t>
      </w:r>
      <w:r w:rsidRPr="00CC4BA0">
        <w:rPr>
          <w:rFonts w:ascii="Times New Roman" w:hAnsi="Times New Roman" w:cs="Times New Roman"/>
          <w:sz w:val="24"/>
          <w:szCs w:val="24"/>
        </w:rPr>
        <w:t xml:space="preserve"> е изчислена, следвайки методиката на КЕВР за ценообразуване съгласно Наредба № 1 от 14.03.2017 г</w:t>
      </w:r>
      <w:r w:rsidR="00021ABC" w:rsidRPr="00CC4BA0">
        <w:rPr>
          <w:rFonts w:ascii="Times New Roman" w:hAnsi="Times New Roman" w:cs="Times New Roman"/>
          <w:sz w:val="24"/>
          <w:szCs w:val="24"/>
        </w:rPr>
        <w:t>., Обн. ДВ. бр. 25 от 24 Март 2017 г., изм. и доп. ДВ. бр. 52 от 22 Юни 2018 г., изм. и доп. ДВ. бр. 50 от 25 Юни</w:t>
      </w:r>
      <w:r w:rsidR="001D0C6D" w:rsidRPr="00CC4BA0">
        <w:rPr>
          <w:rFonts w:ascii="Times New Roman" w:hAnsi="Times New Roman" w:cs="Times New Roman"/>
          <w:sz w:val="24"/>
          <w:szCs w:val="24"/>
        </w:rPr>
        <w:t xml:space="preserve"> </w:t>
      </w:r>
      <w:r w:rsidR="00021ABC" w:rsidRPr="00CC4BA0">
        <w:rPr>
          <w:rFonts w:ascii="Times New Roman" w:hAnsi="Times New Roman" w:cs="Times New Roman"/>
          <w:sz w:val="24"/>
          <w:szCs w:val="24"/>
        </w:rPr>
        <w:t>2019</w:t>
      </w:r>
      <w:r w:rsidR="001D0C6D" w:rsidRPr="00CC4BA0">
        <w:rPr>
          <w:rFonts w:ascii="Times New Roman" w:hAnsi="Times New Roman" w:cs="Times New Roman"/>
          <w:sz w:val="24"/>
          <w:szCs w:val="24"/>
        </w:rPr>
        <w:t xml:space="preserve"> </w:t>
      </w:r>
      <w:r w:rsidR="00021ABC" w:rsidRPr="00CC4BA0">
        <w:rPr>
          <w:rFonts w:ascii="Times New Roman" w:hAnsi="Times New Roman" w:cs="Times New Roman"/>
          <w:sz w:val="24"/>
          <w:szCs w:val="24"/>
        </w:rPr>
        <w:t>г.,</w:t>
      </w:r>
      <w:r w:rsidR="001D0C6D" w:rsidRPr="00CC4BA0">
        <w:rPr>
          <w:rFonts w:ascii="Times New Roman" w:hAnsi="Times New Roman" w:cs="Times New Roman"/>
          <w:sz w:val="24"/>
          <w:szCs w:val="24"/>
        </w:rPr>
        <w:t xml:space="preserve"> </w:t>
      </w:r>
      <w:r w:rsidR="00021ABC" w:rsidRPr="00CC4BA0">
        <w:rPr>
          <w:rFonts w:ascii="Times New Roman" w:hAnsi="Times New Roman" w:cs="Times New Roman"/>
          <w:sz w:val="24"/>
          <w:szCs w:val="24"/>
        </w:rPr>
        <w:t>изм.</w:t>
      </w:r>
      <w:r w:rsidR="001D0C6D" w:rsidRPr="00CC4BA0">
        <w:rPr>
          <w:rFonts w:ascii="Times New Roman" w:hAnsi="Times New Roman" w:cs="Times New Roman"/>
          <w:sz w:val="24"/>
          <w:szCs w:val="24"/>
        </w:rPr>
        <w:t xml:space="preserve"> </w:t>
      </w:r>
      <w:r w:rsidR="00021ABC" w:rsidRPr="00CC4BA0">
        <w:rPr>
          <w:rFonts w:ascii="Times New Roman" w:hAnsi="Times New Roman" w:cs="Times New Roman"/>
          <w:sz w:val="24"/>
          <w:szCs w:val="24"/>
        </w:rPr>
        <w:t>и</w:t>
      </w:r>
      <w:r w:rsidR="001D0C6D" w:rsidRPr="00CC4BA0">
        <w:rPr>
          <w:rFonts w:ascii="Times New Roman" w:hAnsi="Times New Roman" w:cs="Times New Roman"/>
          <w:sz w:val="24"/>
          <w:szCs w:val="24"/>
        </w:rPr>
        <w:t xml:space="preserve"> </w:t>
      </w:r>
      <w:r w:rsidR="00021ABC" w:rsidRPr="00CC4BA0">
        <w:rPr>
          <w:rFonts w:ascii="Times New Roman" w:hAnsi="Times New Roman" w:cs="Times New Roman"/>
          <w:sz w:val="24"/>
          <w:szCs w:val="24"/>
        </w:rPr>
        <w:t>доп.</w:t>
      </w:r>
      <w:r w:rsidR="001D0C6D" w:rsidRPr="00CC4BA0">
        <w:rPr>
          <w:rFonts w:ascii="Times New Roman" w:hAnsi="Times New Roman" w:cs="Times New Roman"/>
          <w:sz w:val="24"/>
          <w:szCs w:val="24"/>
        </w:rPr>
        <w:t xml:space="preserve"> </w:t>
      </w:r>
      <w:r w:rsidR="00021ABC" w:rsidRPr="00CC4BA0">
        <w:rPr>
          <w:rFonts w:ascii="Times New Roman" w:hAnsi="Times New Roman" w:cs="Times New Roman"/>
          <w:sz w:val="24"/>
          <w:szCs w:val="24"/>
        </w:rPr>
        <w:t>ДВ.</w:t>
      </w:r>
      <w:r w:rsidR="001D0C6D" w:rsidRPr="00CC4BA0">
        <w:rPr>
          <w:rFonts w:ascii="Times New Roman" w:hAnsi="Times New Roman" w:cs="Times New Roman"/>
          <w:sz w:val="24"/>
          <w:szCs w:val="24"/>
        </w:rPr>
        <w:t xml:space="preserve"> </w:t>
      </w:r>
      <w:r w:rsidR="00021ABC" w:rsidRPr="00CC4BA0">
        <w:rPr>
          <w:rFonts w:ascii="Times New Roman" w:hAnsi="Times New Roman" w:cs="Times New Roman"/>
          <w:sz w:val="24"/>
          <w:szCs w:val="24"/>
        </w:rPr>
        <w:t>бр.</w:t>
      </w:r>
      <w:r w:rsidR="001D0C6D" w:rsidRPr="00CC4BA0">
        <w:rPr>
          <w:rFonts w:ascii="Times New Roman" w:hAnsi="Times New Roman" w:cs="Times New Roman"/>
          <w:sz w:val="24"/>
          <w:szCs w:val="24"/>
        </w:rPr>
        <w:t xml:space="preserve"> </w:t>
      </w:r>
      <w:r w:rsidR="00021ABC" w:rsidRPr="00CC4BA0">
        <w:rPr>
          <w:rFonts w:ascii="Times New Roman" w:hAnsi="Times New Roman" w:cs="Times New Roman"/>
          <w:sz w:val="24"/>
          <w:szCs w:val="24"/>
        </w:rPr>
        <w:t>47</w:t>
      </w:r>
      <w:r w:rsidR="001D0C6D" w:rsidRPr="00CC4BA0">
        <w:rPr>
          <w:rFonts w:ascii="Times New Roman" w:hAnsi="Times New Roman" w:cs="Times New Roman"/>
          <w:sz w:val="24"/>
          <w:szCs w:val="24"/>
        </w:rPr>
        <w:t xml:space="preserve"> </w:t>
      </w:r>
      <w:r w:rsidR="00021ABC" w:rsidRPr="00CC4BA0">
        <w:rPr>
          <w:rFonts w:ascii="Times New Roman" w:hAnsi="Times New Roman" w:cs="Times New Roman"/>
          <w:sz w:val="24"/>
          <w:szCs w:val="24"/>
        </w:rPr>
        <w:t>от 22 Май</w:t>
      </w:r>
      <w:r w:rsidR="001D0C6D" w:rsidRPr="00CC4BA0">
        <w:rPr>
          <w:rFonts w:ascii="Times New Roman" w:hAnsi="Times New Roman" w:cs="Times New Roman"/>
          <w:sz w:val="24"/>
          <w:szCs w:val="24"/>
        </w:rPr>
        <w:t xml:space="preserve"> </w:t>
      </w:r>
      <w:r w:rsidR="00021ABC" w:rsidRPr="00CC4BA0">
        <w:rPr>
          <w:rFonts w:ascii="Times New Roman" w:hAnsi="Times New Roman" w:cs="Times New Roman"/>
          <w:sz w:val="24"/>
          <w:szCs w:val="24"/>
        </w:rPr>
        <w:t>2020</w:t>
      </w:r>
      <w:r w:rsidR="001D0C6D" w:rsidRPr="00CC4BA0">
        <w:rPr>
          <w:rFonts w:ascii="Times New Roman" w:hAnsi="Times New Roman" w:cs="Times New Roman"/>
          <w:sz w:val="24"/>
          <w:szCs w:val="24"/>
        </w:rPr>
        <w:t xml:space="preserve"> </w:t>
      </w:r>
      <w:r w:rsidR="00021ABC" w:rsidRPr="00CC4BA0">
        <w:rPr>
          <w:rFonts w:ascii="Times New Roman" w:hAnsi="Times New Roman" w:cs="Times New Roman"/>
          <w:sz w:val="24"/>
          <w:szCs w:val="24"/>
        </w:rPr>
        <w:t>г.,</w:t>
      </w:r>
      <w:r w:rsidR="001D0C6D" w:rsidRPr="00CC4BA0">
        <w:rPr>
          <w:rFonts w:ascii="Times New Roman" w:hAnsi="Times New Roman" w:cs="Times New Roman"/>
          <w:sz w:val="24"/>
          <w:szCs w:val="24"/>
        </w:rPr>
        <w:t xml:space="preserve"> </w:t>
      </w:r>
      <w:r w:rsidR="00021ABC" w:rsidRPr="00CC4BA0">
        <w:rPr>
          <w:rFonts w:ascii="Times New Roman" w:hAnsi="Times New Roman" w:cs="Times New Roman"/>
          <w:sz w:val="24"/>
          <w:szCs w:val="24"/>
        </w:rPr>
        <w:t>изм.</w:t>
      </w:r>
      <w:r w:rsidR="001D0C6D" w:rsidRPr="00CC4BA0">
        <w:rPr>
          <w:rFonts w:ascii="Times New Roman" w:hAnsi="Times New Roman" w:cs="Times New Roman"/>
          <w:sz w:val="24"/>
          <w:szCs w:val="24"/>
        </w:rPr>
        <w:t xml:space="preserve"> </w:t>
      </w:r>
      <w:r w:rsidR="00021ABC" w:rsidRPr="00CC4BA0">
        <w:rPr>
          <w:rFonts w:ascii="Times New Roman" w:hAnsi="Times New Roman" w:cs="Times New Roman"/>
          <w:sz w:val="24"/>
          <w:szCs w:val="24"/>
        </w:rPr>
        <w:t>ДВ.</w:t>
      </w:r>
      <w:r w:rsidR="001D0C6D" w:rsidRPr="00CC4BA0">
        <w:rPr>
          <w:rFonts w:ascii="Times New Roman" w:hAnsi="Times New Roman" w:cs="Times New Roman"/>
          <w:sz w:val="24"/>
          <w:szCs w:val="24"/>
        </w:rPr>
        <w:t xml:space="preserve"> </w:t>
      </w:r>
      <w:r w:rsidR="00021ABC" w:rsidRPr="00CC4BA0">
        <w:rPr>
          <w:rFonts w:ascii="Times New Roman" w:hAnsi="Times New Roman" w:cs="Times New Roman"/>
          <w:sz w:val="24"/>
          <w:szCs w:val="24"/>
        </w:rPr>
        <w:t>бр.</w:t>
      </w:r>
      <w:r w:rsidR="001D0C6D" w:rsidRPr="00CC4BA0">
        <w:rPr>
          <w:rFonts w:ascii="Times New Roman" w:hAnsi="Times New Roman" w:cs="Times New Roman"/>
          <w:sz w:val="24"/>
          <w:szCs w:val="24"/>
        </w:rPr>
        <w:t xml:space="preserve"> </w:t>
      </w:r>
      <w:r w:rsidR="00021ABC" w:rsidRPr="00CC4BA0">
        <w:rPr>
          <w:rFonts w:ascii="Times New Roman" w:hAnsi="Times New Roman" w:cs="Times New Roman"/>
          <w:sz w:val="24"/>
          <w:szCs w:val="24"/>
        </w:rPr>
        <w:t>65</w:t>
      </w:r>
      <w:r w:rsidR="001D0C6D" w:rsidRPr="00CC4BA0">
        <w:rPr>
          <w:rFonts w:ascii="Times New Roman" w:hAnsi="Times New Roman" w:cs="Times New Roman"/>
          <w:sz w:val="24"/>
          <w:szCs w:val="24"/>
        </w:rPr>
        <w:t xml:space="preserve"> </w:t>
      </w:r>
      <w:r w:rsidR="00021ABC" w:rsidRPr="00CC4BA0">
        <w:rPr>
          <w:rFonts w:ascii="Times New Roman" w:hAnsi="Times New Roman" w:cs="Times New Roman"/>
          <w:sz w:val="24"/>
          <w:szCs w:val="24"/>
        </w:rPr>
        <w:t>от</w:t>
      </w:r>
      <w:r w:rsidR="001D0C6D" w:rsidRPr="00CC4BA0">
        <w:rPr>
          <w:rFonts w:ascii="Times New Roman" w:hAnsi="Times New Roman" w:cs="Times New Roman"/>
          <w:sz w:val="24"/>
          <w:szCs w:val="24"/>
        </w:rPr>
        <w:t xml:space="preserve"> </w:t>
      </w:r>
      <w:r w:rsidR="00021ABC" w:rsidRPr="00CC4BA0">
        <w:rPr>
          <w:rFonts w:ascii="Times New Roman" w:hAnsi="Times New Roman" w:cs="Times New Roman"/>
          <w:sz w:val="24"/>
          <w:szCs w:val="24"/>
        </w:rPr>
        <w:t>6</w:t>
      </w:r>
      <w:r w:rsidR="001D0C6D" w:rsidRPr="00CC4BA0">
        <w:rPr>
          <w:rFonts w:ascii="Times New Roman" w:hAnsi="Times New Roman" w:cs="Times New Roman"/>
          <w:sz w:val="24"/>
          <w:szCs w:val="24"/>
        </w:rPr>
        <w:t xml:space="preserve"> </w:t>
      </w:r>
      <w:r w:rsidR="00021ABC" w:rsidRPr="00CC4BA0">
        <w:rPr>
          <w:rFonts w:ascii="Times New Roman" w:hAnsi="Times New Roman" w:cs="Times New Roman"/>
          <w:sz w:val="24"/>
          <w:szCs w:val="24"/>
        </w:rPr>
        <w:t>Август</w:t>
      </w:r>
      <w:r w:rsidR="001D0C6D" w:rsidRPr="00CC4BA0">
        <w:rPr>
          <w:rFonts w:ascii="Times New Roman" w:hAnsi="Times New Roman" w:cs="Times New Roman"/>
          <w:sz w:val="24"/>
          <w:szCs w:val="24"/>
        </w:rPr>
        <w:t xml:space="preserve"> </w:t>
      </w:r>
      <w:r w:rsidR="00021ABC" w:rsidRPr="00CC4BA0">
        <w:rPr>
          <w:rFonts w:ascii="Times New Roman" w:hAnsi="Times New Roman" w:cs="Times New Roman"/>
          <w:sz w:val="24"/>
          <w:szCs w:val="24"/>
        </w:rPr>
        <w:t>2021</w:t>
      </w:r>
      <w:r w:rsidR="001D0C6D" w:rsidRPr="00CC4BA0">
        <w:rPr>
          <w:rFonts w:ascii="Times New Roman" w:hAnsi="Times New Roman" w:cs="Times New Roman"/>
          <w:sz w:val="24"/>
          <w:szCs w:val="24"/>
        </w:rPr>
        <w:t xml:space="preserve"> </w:t>
      </w:r>
      <w:r w:rsidR="00021ABC" w:rsidRPr="00CC4BA0">
        <w:rPr>
          <w:rFonts w:ascii="Times New Roman" w:hAnsi="Times New Roman" w:cs="Times New Roman"/>
          <w:sz w:val="24"/>
          <w:szCs w:val="24"/>
        </w:rPr>
        <w:t>г.</w:t>
      </w:r>
      <w:r w:rsidR="007A2C20">
        <w:rPr>
          <w:rFonts w:ascii="Times New Roman" w:hAnsi="Times New Roman" w:cs="Times New Roman"/>
          <w:sz w:val="24"/>
          <w:szCs w:val="24"/>
        </w:rPr>
        <w:t xml:space="preserve"> (Наредба</w:t>
      </w:r>
      <w:r w:rsidR="00325FD2">
        <w:rPr>
          <w:rFonts w:ascii="Times New Roman" w:hAnsi="Times New Roman" w:cs="Times New Roman"/>
          <w:sz w:val="24"/>
          <w:szCs w:val="24"/>
        </w:rPr>
        <w:t xml:space="preserve"> № 1</w:t>
      </w:r>
      <w:r w:rsidR="007A2C20">
        <w:rPr>
          <w:rFonts w:ascii="Times New Roman" w:hAnsi="Times New Roman" w:cs="Times New Roman"/>
          <w:sz w:val="24"/>
          <w:szCs w:val="24"/>
        </w:rPr>
        <w:t>)</w:t>
      </w:r>
      <w:r w:rsidR="001D0C6D" w:rsidRPr="00CC4BA0">
        <w:rPr>
          <w:rFonts w:ascii="Times New Roman" w:hAnsi="Times New Roman" w:cs="Times New Roman"/>
          <w:sz w:val="24"/>
          <w:szCs w:val="24"/>
        </w:rPr>
        <w:t xml:space="preserve">, </w:t>
      </w:r>
      <w:r w:rsidRPr="00CC4BA0">
        <w:rPr>
          <w:rFonts w:ascii="Times New Roman" w:hAnsi="Times New Roman" w:cs="Times New Roman"/>
          <w:sz w:val="24"/>
          <w:szCs w:val="24"/>
        </w:rPr>
        <w:t>както и Указания за нейното прилагане</w:t>
      </w:r>
      <w:r w:rsidR="007A2C20">
        <w:rPr>
          <w:rFonts w:ascii="Times New Roman" w:hAnsi="Times New Roman" w:cs="Times New Roman"/>
          <w:sz w:val="24"/>
          <w:szCs w:val="24"/>
        </w:rPr>
        <w:t xml:space="preserve"> (Указанията)</w:t>
      </w:r>
      <w:r w:rsidRPr="00CC4BA0">
        <w:rPr>
          <w:rFonts w:ascii="Times New Roman" w:hAnsi="Times New Roman" w:cs="Times New Roman"/>
          <w:sz w:val="24"/>
          <w:szCs w:val="24"/>
        </w:rPr>
        <w:t xml:space="preserve">. </w:t>
      </w:r>
    </w:p>
    <w:p w14:paraId="2A05A0DD" w14:textId="77777777" w:rsidR="00513B0C" w:rsidRPr="00CC4BA0" w:rsidRDefault="00513B0C">
      <w:pPr>
        <w:spacing w:after="120" w:line="240" w:lineRule="auto"/>
        <w:jc w:val="both"/>
        <w:rPr>
          <w:rFonts w:ascii="Times New Roman" w:hAnsi="Times New Roman" w:cs="Times New Roman"/>
          <w:sz w:val="24"/>
          <w:szCs w:val="24"/>
        </w:rPr>
      </w:pPr>
      <w:r w:rsidRPr="00CC4BA0">
        <w:rPr>
          <w:rFonts w:ascii="Times New Roman" w:hAnsi="Times New Roman" w:cs="Times New Roman"/>
          <w:sz w:val="24"/>
          <w:szCs w:val="24"/>
        </w:rPr>
        <w:t>Съгласно Указанията, чл. 10 и чл. 30.1. лицензиантите предоставят информация за договорените и общо прогнозните количества разполагаемост на предоставената мощност, като сумата от предоставената почасова мощност включва всички часове в разполагаемост, вкл. и студен резерв.</w:t>
      </w:r>
    </w:p>
    <w:p w14:paraId="0FB2B19C" w14:textId="54423FC3" w:rsidR="00031C79" w:rsidRPr="00CC4BA0" w:rsidRDefault="00513B0C">
      <w:pPr>
        <w:spacing w:after="120" w:line="240" w:lineRule="auto"/>
        <w:jc w:val="both"/>
        <w:rPr>
          <w:rFonts w:ascii="Times New Roman" w:hAnsi="Times New Roman" w:cs="Times New Roman"/>
          <w:color w:val="000000" w:themeColor="text1"/>
          <w:sz w:val="24"/>
          <w:szCs w:val="24"/>
        </w:rPr>
      </w:pPr>
      <w:r w:rsidRPr="0052294B">
        <w:rPr>
          <w:rFonts w:ascii="Times New Roman" w:hAnsi="Times New Roman" w:cs="Times New Roman"/>
          <w:color w:val="000000" w:themeColor="text1"/>
          <w:sz w:val="24"/>
          <w:szCs w:val="24"/>
        </w:rPr>
        <w:t xml:space="preserve">За новия ценови период </w:t>
      </w:r>
      <w:r w:rsidR="00187C85" w:rsidRPr="0052294B">
        <w:rPr>
          <w:rFonts w:ascii="Times New Roman" w:hAnsi="Times New Roman" w:cs="Times New Roman"/>
          <w:color w:val="000000" w:themeColor="text1"/>
          <w:sz w:val="24"/>
          <w:szCs w:val="24"/>
        </w:rPr>
        <w:t xml:space="preserve">максимално възможната </w:t>
      </w:r>
      <w:r w:rsidRPr="0052294B">
        <w:rPr>
          <w:rFonts w:ascii="Times New Roman" w:hAnsi="Times New Roman" w:cs="Times New Roman"/>
          <w:color w:val="000000" w:themeColor="text1"/>
          <w:sz w:val="24"/>
          <w:szCs w:val="24"/>
        </w:rPr>
        <w:t xml:space="preserve">нетна </w:t>
      </w:r>
      <w:r w:rsidR="003B5E5A" w:rsidRPr="0052294B">
        <w:rPr>
          <w:rFonts w:ascii="Times New Roman" w:hAnsi="Times New Roman" w:cs="Times New Roman"/>
          <w:color w:val="000000" w:themeColor="text1"/>
          <w:sz w:val="24"/>
          <w:szCs w:val="24"/>
        </w:rPr>
        <w:t>разполагаемост</w:t>
      </w:r>
      <w:r w:rsidRPr="0052294B">
        <w:rPr>
          <w:rFonts w:ascii="Times New Roman" w:hAnsi="Times New Roman" w:cs="Times New Roman"/>
          <w:color w:val="000000" w:themeColor="text1"/>
          <w:sz w:val="24"/>
          <w:szCs w:val="24"/>
        </w:rPr>
        <w:t>, която „ТЕЦ Марица изток 2“ ЕАД ще може да използва за продажби както на свободния, така и на регулирания пазар</w:t>
      </w:r>
      <w:r w:rsidR="00B220FD" w:rsidRPr="0052294B">
        <w:rPr>
          <w:rFonts w:ascii="Times New Roman" w:hAnsi="Times New Roman" w:cs="Times New Roman"/>
          <w:color w:val="000000" w:themeColor="text1"/>
          <w:sz w:val="24"/>
          <w:szCs w:val="24"/>
        </w:rPr>
        <w:t xml:space="preserve"> е в размер на </w:t>
      </w:r>
      <w:r w:rsidR="00B605B9">
        <w:rPr>
          <w:rFonts w:ascii="Times New Roman" w:hAnsi="Times New Roman" w:cs="Times New Roman"/>
          <w:color w:val="000000" w:themeColor="text1"/>
          <w:sz w:val="24"/>
          <w:szCs w:val="24"/>
        </w:rPr>
        <w:t>…………….</w:t>
      </w:r>
      <w:r w:rsidR="00B220FD" w:rsidRPr="0052294B">
        <w:rPr>
          <w:rFonts w:ascii="Times New Roman" w:hAnsi="Times New Roman" w:cs="Times New Roman"/>
          <w:color w:val="000000" w:themeColor="text1"/>
          <w:sz w:val="24"/>
          <w:szCs w:val="24"/>
        </w:rPr>
        <w:t xml:space="preserve"> </w:t>
      </w:r>
      <w:proofErr w:type="spellStart"/>
      <w:r w:rsidR="00B220FD" w:rsidRPr="0052294B">
        <w:rPr>
          <w:rFonts w:ascii="Times New Roman" w:hAnsi="Times New Roman" w:cs="Times New Roman"/>
          <w:color w:val="000000" w:themeColor="text1"/>
          <w:sz w:val="24"/>
          <w:szCs w:val="24"/>
        </w:rPr>
        <w:t>МВтч</w:t>
      </w:r>
      <w:proofErr w:type="spellEnd"/>
      <w:r w:rsidRPr="0052294B">
        <w:rPr>
          <w:rFonts w:ascii="Times New Roman" w:hAnsi="Times New Roman" w:cs="Times New Roman"/>
          <w:color w:val="000000" w:themeColor="text1"/>
          <w:sz w:val="24"/>
          <w:szCs w:val="24"/>
        </w:rPr>
        <w:t xml:space="preserve">. </w:t>
      </w:r>
      <w:r w:rsidR="00325FD2" w:rsidRPr="0052294B">
        <w:rPr>
          <w:rFonts w:ascii="Times New Roman" w:hAnsi="Times New Roman" w:cs="Times New Roman"/>
          <w:color w:val="000000" w:themeColor="text1"/>
          <w:sz w:val="24"/>
          <w:szCs w:val="24"/>
        </w:rPr>
        <w:t xml:space="preserve"> </w:t>
      </w:r>
      <w:r w:rsidR="003B5E5A" w:rsidRPr="0052294B">
        <w:rPr>
          <w:rFonts w:ascii="Times New Roman" w:hAnsi="Times New Roman" w:cs="Times New Roman"/>
          <w:color w:val="000000" w:themeColor="text1"/>
          <w:sz w:val="24"/>
          <w:szCs w:val="24"/>
        </w:rPr>
        <w:t xml:space="preserve">Прогнозата ни за производство на нетна електрическа енергия е в размер на </w:t>
      </w:r>
      <w:r w:rsidR="00B605B9">
        <w:rPr>
          <w:rFonts w:ascii="Times New Roman" w:hAnsi="Times New Roman" w:cs="Times New Roman"/>
          <w:color w:val="000000" w:themeColor="text1"/>
          <w:sz w:val="24"/>
          <w:szCs w:val="24"/>
        </w:rPr>
        <w:t>…………………..</w:t>
      </w:r>
      <w:r w:rsidR="00211102" w:rsidRPr="0052294B">
        <w:rPr>
          <w:rFonts w:ascii="Times New Roman" w:hAnsi="Times New Roman" w:cs="Times New Roman"/>
          <w:color w:val="000000" w:themeColor="text1"/>
          <w:sz w:val="24"/>
          <w:szCs w:val="24"/>
          <w:lang w:val="en-US"/>
        </w:rPr>
        <w:t xml:space="preserve"> </w:t>
      </w:r>
      <w:proofErr w:type="spellStart"/>
      <w:r w:rsidR="003B5E5A" w:rsidRPr="0052294B">
        <w:rPr>
          <w:rFonts w:ascii="Times New Roman" w:hAnsi="Times New Roman" w:cs="Times New Roman"/>
          <w:color w:val="000000" w:themeColor="text1"/>
          <w:sz w:val="24"/>
          <w:szCs w:val="24"/>
        </w:rPr>
        <w:t>МВтч</w:t>
      </w:r>
      <w:proofErr w:type="spellEnd"/>
      <w:r w:rsidR="003B5E5A" w:rsidRPr="0052294B">
        <w:rPr>
          <w:rFonts w:ascii="Times New Roman" w:hAnsi="Times New Roman" w:cs="Times New Roman"/>
          <w:color w:val="000000" w:themeColor="text1"/>
          <w:sz w:val="24"/>
          <w:szCs w:val="24"/>
        </w:rPr>
        <w:t xml:space="preserve">, а прогнозната ни </w:t>
      </w:r>
      <w:proofErr w:type="spellStart"/>
      <w:r w:rsidR="00031C79" w:rsidRPr="0052294B">
        <w:rPr>
          <w:rFonts w:ascii="Times New Roman" w:hAnsi="Times New Roman" w:cs="Times New Roman"/>
          <w:color w:val="000000" w:themeColor="text1"/>
          <w:sz w:val="24"/>
          <w:szCs w:val="24"/>
        </w:rPr>
        <w:t>еднокомпонентна</w:t>
      </w:r>
      <w:proofErr w:type="spellEnd"/>
      <w:r w:rsidR="00031C79" w:rsidRPr="0052294B">
        <w:rPr>
          <w:rFonts w:ascii="Times New Roman" w:hAnsi="Times New Roman" w:cs="Times New Roman"/>
          <w:color w:val="000000" w:themeColor="text1"/>
          <w:sz w:val="24"/>
          <w:szCs w:val="24"/>
        </w:rPr>
        <w:t xml:space="preserve"> </w:t>
      </w:r>
      <w:r w:rsidR="003B5E5A" w:rsidRPr="0052294B">
        <w:rPr>
          <w:rFonts w:ascii="Times New Roman" w:hAnsi="Times New Roman" w:cs="Times New Roman"/>
          <w:color w:val="000000" w:themeColor="text1"/>
          <w:sz w:val="24"/>
          <w:szCs w:val="24"/>
        </w:rPr>
        <w:t xml:space="preserve">цена, </w:t>
      </w:r>
      <w:r w:rsidR="00031C79" w:rsidRPr="0052294B">
        <w:rPr>
          <w:rFonts w:ascii="Times New Roman" w:hAnsi="Times New Roman" w:cs="Times New Roman"/>
          <w:color w:val="000000" w:themeColor="text1"/>
          <w:sz w:val="24"/>
          <w:szCs w:val="24"/>
        </w:rPr>
        <w:t xml:space="preserve">изчислена съобразно Наредба № 1, </w:t>
      </w:r>
      <w:r w:rsidR="003B5E5A" w:rsidRPr="0052294B">
        <w:rPr>
          <w:rFonts w:ascii="Times New Roman" w:hAnsi="Times New Roman" w:cs="Times New Roman"/>
          <w:color w:val="000000" w:themeColor="text1"/>
          <w:sz w:val="24"/>
          <w:szCs w:val="24"/>
        </w:rPr>
        <w:t>с включена възвр</w:t>
      </w:r>
      <w:r w:rsidR="00031C79" w:rsidRPr="0052294B">
        <w:rPr>
          <w:rFonts w:ascii="Times New Roman" w:hAnsi="Times New Roman" w:cs="Times New Roman"/>
          <w:color w:val="000000" w:themeColor="text1"/>
          <w:sz w:val="24"/>
          <w:szCs w:val="24"/>
        </w:rPr>
        <w:t>а</w:t>
      </w:r>
      <w:r w:rsidR="003B5E5A" w:rsidRPr="0052294B">
        <w:rPr>
          <w:rFonts w:ascii="Times New Roman" w:hAnsi="Times New Roman" w:cs="Times New Roman"/>
          <w:color w:val="000000" w:themeColor="text1"/>
          <w:sz w:val="24"/>
          <w:szCs w:val="24"/>
        </w:rPr>
        <w:t xml:space="preserve">щаемост </w:t>
      </w:r>
      <w:r w:rsidR="00211102" w:rsidRPr="0052294B">
        <w:rPr>
          <w:rFonts w:ascii="Times New Roman" w:hAnsi="Times New Roman" w:cs="Times New Roman"/>
          <w:color w:val="000000" w:themeColor="text1"/>
          <w:sz w:val="24"/>
          <w:szCs w:val="24"/>
        </w:rPr>
        <w:t xml:space="preserve">на собствения капитал </w:t>
      </w:r>
      <w:r w:rsidR="00325FD2" w:rsidRPr="0052294B">
        <w:rPr>
          <w:rFonts w:ascii="Times New Roman" w:hAnsi="Times New Roman" w:cs="Times New Roman"/>
          <w:color w:val="000000" w:themeColor="text1"/>
          <w:sz w:val="24"/>
          <w:szCs w:val="24"/>
        </w:rPr>
        <w:t xml:space="preserve">в размер на </w:t>
      </w:r>
      <w:r w:rsidR="00B605B9">
        <w:rPr>
          <w:rFonts w:ascii="Times New Roman" w:hAnsi="Times New Roman" w:cs="Times New Roman"/>
          <w:color w:val="000000" w:themeColor="text1"/>
          <w:sz w:val="24"/>
          <w:szCs w:val="24"/>
        </w:rPr>
        <w:t>……</w:t>
      </w:r>
      <w:r w:rsidR="00325FD2" w:rsidRPr="0052294B">
        <w:rPr>
          <w:rFonts w:ascii="Times New Roman" w:hAnsi="Times New Roman" w:cs="Times New Roman"/>
          <w:color w:val="000000" w:themeColor="text1"/>
          <w:sz w:val="24"/>
          <w:szCs w:val="24"/>
        </w:rPr>
        <w:t xml:space="preserve">% </w:t>
      </w:r>
      <w:r w:rsidR="003B5E5A" w:rsidRPr="0052294B">
        <w:rPr>
          <w:rFonts w:ascii="Times New Roman" w:hAnsi="Times New Roman" w:cs="Times New Roman"/>
          <w:color w:val="000000" w:themeColor="text1"/>
          <w:sz w:val="24"/>
          <w:szCs w:val="24"/>
        </w:rPr>
        <w:t>е в</w:t>
      </w:r>
      <w:r w:rsidR="00A967C4" w:rsidRPr="0052294B">
        <w:rPr>
          <w:rFonts w:ascii="Times New Roman" w:hAnsi="Times New Roman" w:cs="Times New Roman"/>
          <w:color w:val="000000" w:themeColor="text1"/>
          <w:sz w:val="24"/>
          <w:szCs w:val="24"/>
        </w:rPr>
        <w:t xml:space="preserve"> размер на </w:t>
      </w:r>
      <w:r w:rsidR="00B605B9">
        <w:rPr>
          <w:rFonts w:ascii="Times New Roman" w:hAnsi="Times New Roman" w:cs="Times New Roman"/>
          <w:color w:val="000000" w:themeColor="text1"/>
          <w:sz w:val="24"/>
          <w:szCs w:val="24"/>
        </w:rPr>
        <w:t>…………..</w:t>
      </w:r>
      <w:r w:rsidR="00211102" w:rsidRPr="0052294B">
        <w:rPr>
          <w:rFonts w:ascii="Times New Roman" w:hAnsi="Times New Roman" w:cs="Times New Roman"/>
          <w:b/>
          <w:bCs/>
          <w:color w:val="000000" w:themeColor="text1"/>
          <w:sz w:val="24"/>
          <w:szCs w:val="24"/>
          <w:lang w:val="en-US"/>
        </w:rPr>
        <w:t xml:space="preserve"> </w:t>
      </w:r>
      <w:r w:rsidR="00A967C4" w:rsidRPr="0052294B">
        <w:rPr>
          <w:rFonts w:ascii="Times New Roman" w:hAnsi="Times New Roman" w:cs="Times New Roman"/>
          <w:b/>
          <w:bCs/>
          <w:color w:val="000000" w:themeColor="text1"/>
          <w:sz w:val="24"/>
          <w:szCs w:val="24"/>
        </w:rPr>
        <w:t>лв./</w:t>
      </w:r>
      <w:proofErr w:type="spellStart"/>
      <w:r w:rsidR="00A967C4" w:rsidRPr="0052294B">
        <w:rPr>
          <w:rFonts w:ascii="Times New Roman" w:hAnsi="Times New Roman" w:cs="Times New Roman"/>
          <w:b/>
          <w:bCs/>
          <w:color w:val="000000" w:themeColor="text1"/>
          <w:sz w:val="24"/>
          <w:szCs w:val="24"/>
        </w:rPr>
        <w:t>МВтч</w:t>
      </w:r>
      <w:proofErr w:type="spellEnd"/>
      <w:r w:rsidR="00A967C4" w:rsidRPr="0052294B">
        <w:rPr>
          <w:rFonts w:ascii="Times New Roman" w:hAnsi="Times New Roman" w:cs="Times New Roman"/>
          <w:b/>
          <w:bCs/>
          <w:color w:val="000000" w:themeColor="text1"/>
          <w:sz w:val="24"/>
          <w:szCs w:val="24"/>
        </w:rPr>
        <w:t>.</w:t>
      </w:r>
      <w:r w:rsidR="00A967C4" w:rsidRPr="00211102">
        <w:rPr>
          <w:rFonts w:ascii="Times New Roman" w:hAnsi="Times New Roman" w:cs="Times New Roman"/>
          <w:b/>
          <w:bCs/>
          <w:color w:val="000000" w:themeColor="text1"/>
          <w:sz w:val="24"/>
          <w:szCs w:val="24"/>
        </w:rPr>
        <w:t xml:space="preserve"> </w:t>
      </w:r>
    </w:p>
    <w:p w14:paraId="527B7CAB" w14:textId="1FE63B2E" w:rsidR="00F84C2A" w:rsidRPr="00CA2EC8" w:rsidRDefault="00F84C2A">
      <w:pPr>
        <w:pStyle w:val="ListParagraph"/>
        <w:numPr>
          <w:ilvl w:val="0"/>
          <w:numId w:val="2"/>
        </w:numPr>
        <w:spacing w:after="120" w:line="240" w:lineRule="auto"/>
        <w:jc w:val="both"/>
        <w:rPr>
          <w:rFonts w:ascii="Times New Roman" w:hAnsi="Times New Roman" w:cs="Times New Roman"/>
          <w:b/>
          <w:sz w:val="24"/>
          <w:szCs w:val="24"/>
        </w:rPr>
      </w:pPr>
      <w:r w:rsidRPr="00CA2EC8">
        <w:rPr>
          <w:rFonts w:ascii="Times New Roman" w:hAnsi="Times New Roman" w:cs="Times New Roman"/>
          <w:b/>
          <w:sz w:val="24"/>
          <w:szCs w:val="24"/>
        </w:rPr>
        <w:lastRenderedPageBreak/>
        <w:t>Правен и икономически анализ</w:t>
      </w:r>
    </w:p>
    <w:p w14:paraId="666A8A3B" w14:textId="38CB8587" w:rsidR="006B0F18" w:rsidRPr="00CC4BA0" w:rsidRDefault="006B0F18">
      <w:pPr>
        <w:spacing w:after="120" w:line="240" w:lineRule="auto"/>
        <w:jc w:val="both"/>
        <w:rPr>
          <w:rFonts w:ascii="Times New Roman" w:hAnsi="Times New Roman" w:cs="Times New Roman"/>
          <w:sz w:val="24"/>
          <w:szCs w:val="24"/>
        </w:rPr>
      </w:pPr>
      <w:r w:rsidRPr="00CC4BA0">
        <w:rPr>
          <w:rFonts w:ascii="Times New Roman" w:hAnsi="Times New Roman" w:cs="Times New Roman"/>
          <w:sz w:val="24"/>
          <w:szCs w:val="24"/>
        </w:rPr>
        <w:t>„ТЕЦ Марица изток 2” ЕАД е най-голямата иновирана топлоелектрическа централа в България. Тя се състои от осем генериращи блока с изградени сероочистващи инсталации (СОИ) с ефективност над 9</w:t>
      </w:r>
      <w:r w:rsidR="005D2392" w:rsidRPr="00CC4BA0">
        <w:rPr>
          <w:rFonts w:ascii="Times New Roman" w:hAnsi="Times New Roman" w:cs="Times New Roman"/>
          <w:sz w:val="24"/>
          <w:szCs w:val="24"/>
          <w:lang w:val="en-US"/>
        </w:rPr>
        <w:t>8</w:t>
      </w:r>
      <w:r w:rsidRPr="00CC4BA0">
        <w:rPr>
          <w:rFonts w:ascii="Times New Roman" w:hAnsi="Times New Roman" w:cs="Times New Roman"/>
          <w:sz w:val="24"/>
          <w:szCs w:val="24"/>
        </w:rPr>
        <w:t xml:space="preserve">%. Преди инсталирането на новите съоръжения централата </w:t>
      </w:r>
      <w:r w:rsidR="008C4E67" w:rsidRPr="00CC4BA0">
        <w:rPr>
          <w:rFonts w:ascii="Times New Roman" w:hAnsi="Times New Roman" w:cs="Times New Roman"/>
          <w:sz w:val="24"/>
          <w:szCs w:val="24"/>
        </w:rPr>
        <w:t xml:space="preserve">беше </w:t>
      </w:r>
      <w:r w:rsidRPr="00CC4BA0">
        <w:rPr>
          <w:rFonts w:ascii="Times New Roman" w:hAnsi="Times New Roman" w:cs="Times New Roman"/>
          <w:sz w:val="24"/>
          <w:szCs w:val="24"/>
        </w:rPr>
        <w:t xml:space="preserve">с обща </w:t>
      </w:r>
      <w:r w:rsidR="008C4E67" w:rsidRPr="00CC4BA0">
        <w:rPr>
          <w:rFonts w:ascii="Times New Roman" w:hAnsi="Times New Roman" w:cs="Times New Roman"/>
          <w:sz w:val="24"/>
          <w:szCs w:val="24"/>
        </w:rPr>
        <w:t xml:space="preserve">инсталирана </w:t>
      </w:r>
      <w:r w:rsidRPr="00CC4BA0">
        <w:rPr>
          <w:rFonts w:ascii="Times New Roman" w:hAnsi="Times New Roman" w:cs="Times New Roman"/>
          <w:sz w:val="24"/>
          <w:szCs w:val="24"/>
        </w:rPr>
        <w:t xml:space="preserve">мощност от 1450 МВт, но след извършената рехабилитация мощността достигна 1610 MВт. </w:t>
      </w:r>
      <w:r w:rsidR="00325FD2">
        <w:rPr>
          <w:rFonts w:ascii="Times New Roman" w:hAnsi="Times New Roman" w:cs="Times New Roman"/>
          <w:sz w:val="24"/>
          <w:szCs w:val="24"/>
        </w:rPr>
        <w:t>Експлоатационният ж</w:t>
      </w:r>
      <w:r w:rsidRPr="00CC4BA0">
        <w:rPr>
          <w:rFonts w:ascii="Times New Roman" w:hAnsi="Times New Roman" w:cs="Times New Roman"/>
          <w:sz w:val="24"/>
          <w:szCs w:val="24"/>
        </w:rPr>
        <w:t xml:space="preserve">ивот на </w:t>
      </w:r>
      <w:r w:rsidR="00325FD2">
        <w:rPr>
          <w:rFonts w:ascii="Times New Roman" w:hAnsi="Times New Roman" w:cs="Times New Roman"/>
          <w:sz w:val="24"/>
          <w:szCs w:val="24"/>
        </w:rPr>
        <w:t xml:space="preserve">основните </w:t>
      </w:r>
      <w:r w:rsidRPr="00CC4BA0">
        <w:rPr>
          <w:rFonts w:ascii="Times New Roman" w:hAnsi="Times New Roman" w:cs="Times New Roman"/>
          <w:sz w:val="24"/>
          <w:szCs w:val="24"/>
        </w:rPr>
        <w:t xml:space="preserve">съоръженията беше увеличен с </w:t>
      </w:r>
      <w:r w:rsidR="00733C66" w:rsidRPr="00CC4BA0">
        <w:rPr>
          <w:rFonts w:ascii="Times New Roman" w:hAnsi="Times New Roman" w:cs="Times New Roman"/>
          <w:sz w:val="24"/>
          <w:szCs w:val="24"/>
        </w:rPr>
        <w:t xml:space="preserve">над </w:t>
      </w:r>
      <w:r w:rsidRPr="00CC4BA0">
        <w:rPr>
          <w:rFonts w:ascii="Times New Roman" w:hAnsi="Times New Roman" w:cs="Times New Roman"/>
          <w:sz w:val="24"/>
          <w:szCs w:val="24"/>
        </w:rPr>
        <w:t xml:space="preserve">25 години. </w:t>
      </w:r>
    </w:p>
    <w:p w14:paraId="2045D8AB" w14:textId="721EECAB" w:rsidR="006B0F18" w:rsidRDefault="006B0F18">
      <w:pPr>
        <w:spacing w:after="120" w:line="240" w:lineRule="auto"/>
        <w:jc w:val="both"/>
        <w:rPr>
          <w:rFonts w:ascii="Times New Roman" w:hAnsi="Times New Roman" w:cs="Times New Roman"/>
          <w:sz w:val="24"/>
          <w:szCs w:val="24"/>
        </w:rPr>
      </w:pPr>
      <w:r w:rsidRPr="00CC4BA0">
        <w:rPr>
          <w:rFonts w:ascii="Times New Roman" w:hAnsi="Times New Roman" w:cs="Times New Roman"/>
          <w:sz w:val="24"/>
          <w:szCs w:val="24"/>
        </w:rPr>
        <w:t xml:space="preserve">Дружеството осъществява дейността си в съответствие с нормативната уредба на енергетиката в България. Цените на електрическата енергия, предназначена за обществена доставка се регулират от Комисията по енергийно и водно регулиране (КЕВР) в съответствие с изискванията на Закона за енергетиката и Наредба </w:t>
      </w:r>
      <w:r w:rsidR="00325FD2">
        <w:rPr>
          <w:rFonts w:ascii="Times New Roman" w:hAnsi="Times New Roman" w:cs="Times New Roman"/>
          <w:sz w:val="24"/>
          <w:szCs w:val="24"/>
        </w:rPr>
        <w:t>№ 1</w:t>
      </w:r>
      <w:r w:rsidRPr="00CC4BA0">
        <w:rPr>
          <w:rFonts w:ascii="Times New Roman" w:hAnsi="Times New Roman" w:cs="Times New Roman"/>
          <w:sz w:val="24"/>
          <w:szCs w:val="24"/>
        </w:rPr>
        <w:t>. „ТЕЦ Марица изток 2“</w:t>
      </w:r>
      <w:r w:rsidR="000A16C8" w:rsidRPr="00CC4BA0">
        <w:rPr>
          <w:rFonts w:ascii="Times New Roman" w:hAnsi="Times New Roman" w:cs="Times New Roman"/>
          <w:sz w:val="24"/>
          <w:szCs w:val="24"/>
          <w:lang w:val="en-US"/>
        </w:rPr>
        <w:t xml:space="preserve"> </w:t>
      </w:r>
      <w:r w:rsidRPr="00CC4BA0">
        <w:rPr>
          <w:rFonts w:ascii="Times New Roman" w:hAnsi="Times New Roman" w:cs="Times New Roman"/>
          <w:sz w:val="24"/>
          <w:szCs w:val="24"/>
        </w:rPr>
        <w:t xml:space="preserve">ЕАД  участва на свободния пазар, като сключва сделки с търговци на електрическа енергия и </w:t>
      </w:r>
      <w:r w:rsidR="00325FD2">
        <w:rPr>
          <w:rFonts w:ascii="Times New Roman" w:hAnsi="Times New Roman" w:cs="Times New Roman"/>
          <w:sz w:val="24"/>
          <w:szCs w:val="24"/>
        </w:rPr>
        <w:t>крайни</w:t>
      </w:r>
      <w:r w:rsidR="00325FD2" w:rsidRPr="00CC4BA0">
        <w:rPr>
          <w:rFonts w:ascii="Times New Roman" w:hAnsi="Times New Roman" w:cs="Times New Roman"/>
          <w:sz w:val="24"/>
          <w:szCs w:val="24"/>
        </w:rPr>
        <w:t xml:space="preserve"> </w:t>
      </w:r>
      <w:r w:rsidRPr="00CC4BA0">
        <w:rPr>
          <w:rFonts w:ascii="Times New Roman" w:hAnsi="Times New Roman" w:cs="Times New Roman"/>
          <w:sz w:val="24"/>
          <w:szCs w:val="24"/>
        </w:rPr>
        <w:t>потребители по свободно договорени цени при условията предвидени в Закона за енергетиката и Правилата за търговия с електрическа енергия.</w:t>
      </w:r>
      <w:r w:rsidR="00325FD2">
        <w:rPr>
          <w:rFonts w:ascii="Times New Roman" w:hAnsi="Times New Roman" w:cs="Times New Roman"/>
          <w:sz w:val="24"/>
          <w:szCs w:val="24"/>
        </w:rPr>
        <w:t xml:space="preserve"> Дружеството участва на всички сегменти на борсовата платформа на БНЕБ ЕАД.</w:t>
      </w:r>
    </w:p>
    <w:p w14:paraId="6C190DC5" w14:textId="0D30A86E" w:rsidR="00325FD2" w:rsidRPr="00DE2B15" w:rsidRDefault="00DE2B15">
      <w:pPr>
        <w:spacing w:after="120" w:line="240" w:lineRule="auto"/>
        <w:jc w:val="both"/>
        <w:rPr>
          <w:rFonts w:ascii="Times New Roman" w:hAnsi="Times New Roman" w:cs="Times New Roman"/>
          <w:sz w:val="24"/>
          <w:szCs w:val="24"/>
        </w:rPr>
      </w:pPr>
      <w:r w:rsidRPr="00DE2B15">
        <w:rPr>
          <w:rFonts w:ascii="Times New Roman" w:hAnsi="Times New Roman" w:cs="Times New Roman"/>
          <w:sz w:val="24"/>
          <w:szCs w:val="24"/>
        </w:rPr>
        <w:t xml:space="preserve">„ТЕЦ Марица изток 2“ ЕАД </w:t>
      </w:r>
      <w:r w:rsidR="004C31D3" w:rsidRPr="00DE2B15">
        <w:rPr>
          <w:rFonts w:ascii="Times New Roman" w:hAnsi="Times New Roman" w:cs="Times New Roman"/>
          <w:sz w:val="24"/>
          <w:szCs w:val="24"/>
        </w:rPr>
        <w:t>е</w:t>
      </w:r>
      <w:r w:rsidRPr="00DE2B15">
        <w:rPr>
          <w:rFonts w:ascii="Times New Roman" w:hAnsi="Times New Roman" w:cs="Times New Roman"/>
          <w:sz w:val="24"/>
          <w:szCs w:val="24"/>
        </w:rPr>
        <w:t xml:space="preserve"> от основните участници на балансиращия пазар, като</w:t>
      </w:r>
      <w:r w:rsidR="004C31D3" w:rsidRPr="00DE2B15">
        <w:rPr>
          <w:rFonts w:ascii="Times New Roman" w:hAnsi="Times New Roman" w:cs="Times New Roman"/>
          <w:sz w:val="24"/>
          <w:szCs w:val="24"/>
        </w:rPr>
        <w:t xml:space="preserve"> резервът за автоматично вторично регулиране в </w:t>
      </w:r>
      <w:r w:rsidRPr="00DE2B15">
        <w:rPr>
          <w:rFonts w:ascii="Times New Roman" w:hAnsi="Times New Roman" w:cs="Times New Roman"/>
          <w:sz w:val="24"/>
          <w:szCs w:val="24"/>
        </w:rPr>
        <w:t xml:space="preserve">електроенергийната система </w:t>
      </w:r>
      <w:r w:rsidR="004C31D3" w:rsidRPr="00DE2B15">
        <w:rPr>
          <w:rFonts w:ascii="Times New Roman" w:hAnsi="Times New Roman" w:cs="Times New Roman"/>
          <w:sz w:val="24"/>
          <w:szCs w:val="24"/>
        </w:rPr>
        <w:t>на Р</w:t>
      </w:r>
      <w:r w:rsidRPr="00DE2B15">
        <w:rPr>
          <w:rFonts w:ascii="Times New Roman" w:hAnsi="Times New Roman" w:cs="Times New Roman"/>
          <w:sz w:val="24"/>
          <w:szCs w:val="24"/>
        </w:rPr>
        <w:t>епублика</w:t>
      </w:r>
      <w:r w:rsidR="004C31D3" w:rsidRPr="00DE2B15">
        <w:rPr>
          <w:rFonts w:ascii="Times New Roman" w:hAnsi="Times New Roman" w:cs="Times New Roman"/>
          <w:sz w:val="24"/>
          <w:szCs w:val="24"/>
        </w:rPr>
        <w:t xml:space="preserve"> България се предоставя основно от топлоелектрически централи (ТЕЦ)</w:t>
      </w:r>
      <w:r w:rsidRPr="00DE2B15">
        <w:rPr>
          <w:rFonts w:ascii="Times New Roman" w:hAnsi="Times New Roman" w:cs="Times New Roman"/>
          <w:sz w:val="24"/>
          <w:szCs w:val="24"/>
        </w:rPr>
        <w:t>.</w:t>
      </w:r>
    </w:p>
    <w:p w14:paraId="3295ECCB" w14:textId="7D832054" w:rsidR="006B0F18" w:rsidRPr="006B0F18" w:rsidRDefault="006B0F18">
      <w:pPr>
        <w:spacing w:after="120" w:line="240" w:lineRule="auto"/>
        <w:jc w:val="both"/>
        <w:rPr>
          <w:rFonts w:ascii="Times New Roman" w:hAnsi="Times New Roman" w:cs="Times New Roman"/>
          <w:sz w:val="24"/>
          <w:szCs w:val="24"/>
        </w:rPr>
      </w:pPr>
      <w:r w:rsidRPr="00CC4BA0">
        <w:rPr>
          <w:rFonts w:ascii="Times New Roman" w:hAnsi="Times New Roman" w:cs="Times New Roman"/>
          <w:sz w:val="24"/>
          <w:szCs w:val="24"/>
        </w:rPr>
        <w:t>Дружеството притежава издадени следните лицензии</w:t>
      </w:r>
      <w:r w:rsidR="00325FD2">
        <w:rPr>
          <w:rFonts w:ascii="Times New Roman" w:hAnsi="Times New Roman" w:cs="Times New Roman"/>
          <w:sz w:val="24"/>
          <w:szCs w:val="24"/>
        </w:rPr>
        <w:t xml:space="preserve"> и акредитации</w:t>
      </w:r>
      <w:r w:rsidRPr="00CC4BA0">
        <w:rPr>
          <w:rFonts w:ascii="Times New Roman" w:hAnsi="Times New Roman" w:cs="Times New Roman"/>
          <w:sz w:val="24"/>
          <w:szCs w:val="24"/>
        </w:rPr>
        <w:t>:</w:t>
      </w:r>
    </w:p>
    <w:p w14:paraId="3CA9E4F7" w14:textId="5C12F263" w:rsidR="006B0F18" w:rsidRPr="00666686" w:rsidRDefault="006B0F18">
      <w:pPr>
        <w:spacing w:after="120" w:line="240" w:lineRule="auto"/>
        <w:jc w:val="both"/>
        <w:rPr>
          <w:rFonts w:ascii="Times New Roman" w:hAnsi="Times New Roman" w:cs="Times New Roman"/>
          <w:sz w:val="24"/>
          <w:szCs w:val="24"/>
          <w:lang w:val="en-US"/>
        </w:rPr>
      </w:pPr>
      <w:r w:rsidRPr="006B0F18">
        <w:rPr>
          <w:rFonts w:ascii="Times New Roman" w:hAnsi="Times New Roman" w:cs="Times New Roman"/>
          <w:sz w:val="24"/>
          <w:szCs w:val="24"/>
        </w:rPr>
        <w:t>-</w:t>
      </w:r>
      <w:r w:rsidRPr="006B0F18">
        <w:rPr>
          <w:rFonts w:ascii="Times New Roman" w:hAnsi="Times New Roman" w:cs="Times New Roman"/>
          <w:sz w:val="24"/>
          <w:szCs w:val="24"/>
        </w:rPr>
        <w:tab/>
      </w:r>
      <w:r w:rsidRPr="002B2CA6">
        <w:rPr>
          <w:rFonts w:ascii="Times New Roman" w:hAnsi="Times New Roman" w:cs="Times New Roman"/>
          <w:sz w:val="24"/>
          <w:szCs w:val="24"/>
        </w:rPr>
        <w:t xml:space="preserve">Лицензия за производство на електрическа енергия, издадена от ДКЕР с № Л-091-01 от 21.02.2001 г. за срок от 20 (двадесет) години. С Решение № И1-Л-091/02.07.2020 г. на КЕВР е продължен срока на лицензията за производство на електрическа енергия с 20 години, считано </w:t>
      </w:r>
      <w:r w:rsidR="00666686">
        <w:rPr>
          <w:rFonts w:ascii="Times New Roman" w:hAnsi="Times New Roman" w:cs="Times New Roman"/>
          <w:sz w:val="24"/>
          <w:szCs w:val="24"/>
        </w:rPr>
        <w:t>от датата на изтичане на предходната</w:t>
      </w:r>
      <w:r w:rsidRPr="002B2CA6">
        <w:rPr>
          <w:rFonts w:ascii="Times New Roman" w:hAnsi="Times New Roman" w:cs="Times New Roman"/>
          <w:sz w:val="24"/>
          <w:szCs w:val="24"/>
        </w:rPr>
        <w:t xml:space="preserve"> </w:t>
      </w:r>
      <w:r w:rsidR="00666686">
        <w:rPr>
          <w:rFonts w:ascii="Times New Roman" w:hAnsi="Times New Roman" w:cs="Times New Roman"/>
          <w:sz w:val="24"/>
          <w:szCs w:val="24"/>
          <w:lang w:val="en-US"/>
        </w:rPr>
        <w:t>(</w:t>
      </w:r>
      <w:r w:rsidRPr="002B2CA6">
        <w:rPr>
          <w:rFonts w:ascii="Times New Roman" w:hAnsi="Times New Roman" w:cs="Times New Roman"/>
          <w:sz w:val="24"/>
          <w:szCs w:val="24"/>
        </w:rPr>
        <w:t>24.03.2021 г.</w:t>
      </w:r>
      <w:r w:rsidR="00666686">
        <w:rPr>
          <w:rFonts w:ascii="Times New Roman" w:hAnsi="Times New Roman" w:cs="Times New Roman"/>
          <w:sz w:val="24"/>
          <w:szCs w:val="24"/>
          <w:lang w:val="en-US"/>
        </w:rPr>
        <w:t>).</w:t>
      </w:r>
    </w:p>
    <w:p w14:paraId="5CC19A91" w14:textId="77777777" w:rsidR="00D71840" w:rsidRPr="002B2CA6" w:rsidRDefault="00D71840">
      <w:pPr>
        <w:spacing w:after="120" w:line="240" w:lineRule="auto"/>
        <w:jc w:val="both"/>
        <w:rPr>
          <w:rFonts w:ascii="Times New Roman" w:hAnsi="Times New Roman" w:cs="Times New Roman"/>
          <w:sz w:val="24"/>
          <w:szCs w:val="24"/>
        </w:rPr>
      </w:pPr>
      <w:r w:rsidRPr="002B2CA6">
        <w:rPr>
          <w:rFonts w:ascii="Times New Roman" w:hAnsi="Times New Roman" w:cs="Times New Roman"/>
          <w:sz w:val="24"/>
          <w:szCs w:val="24"/>
        </w:rPr>
        <w:t>-</w:t>
      </w:r>
      <w:r w:rsidRPr="002B2CA6">
        <w:rPr>
          <w:rFonts w:ascii="Times New Roman" w:hAnsi="Times New Roman" w:cs="Times New Roman"/>
          <w:sz w:val="24"/>
          <w:szCs w:val="24"/>
        </w:rPr>
        <w:tab/>
        <w:t>Лицензия за търговия с електрическа енергия, издадена от КЕВР с № Л-498-15 от 31.01.2018 г. за срок от 10 (десет) години.</w:t>
      </w:r>
    </w:p>
    <w:p w14:paraId="0A53876B" w14:textId="77777777" w:rsidR="00D71840" w:rsidRPr="002B2CA6" w:rsidRDefault="00D71840">
      <w:pPr>
        <w:spacing w:after="120" w:line="240" w:lineRule="auto"/>
        <w:jc w:val="both"/>
        <w:rPr>
          <w:rFonts w:ascii="Times New Roman" w:hAnsi="Times New Roman" w:cs="Times New Roman"/>
          <w:sz w:val="24"/>
          <w:szCs w:val="24"/>
        </w:rPr>
      </w:pPr>
      <w:r w:rsidRPr="002B2CA6">
        <w:rPr>
          <w:rFonts w:ascii="Times New Roman" w:hAnsi="Times New Roman" w:cs="Times New Roman"/>
          <w:sz w:val="24"/>
          <w:szCs w:val="24"/>
        </w:rPr>
        <w:t>-</w:t>
      </w:r>
      <w:r w:rsidRPr="002B2CA6">
        <w:rPr>
          <w:rFonts w:ascii="Times New Roman" w:hAnsi="Times New Roman" w:cs="Times New Roman"/>
          <w:sz w:val="24"/>
          <w:szCs w:val="24"/>
        </w:rPr>
        <w:tab/>
        <w:t>Лицензии за осъществяване на технически надзор на съоръжения с повишена опасност, издадени от ДАМТН с № 510 / 05.06.2008 г. и №755/25.05.2015 г.</w:t>
      </w:r>
    </w:p>
    <w:p w14:paraId="417EC613" w14:textId="76FA5D0D" w:rsidR="00D71840" w:rsidRPr="002B2CA6" w:rsidRDefault="00D71840">
      <w:pPr>
        <w:spacing w:after="120" w:line="240" w:lineRule="auto"/>
        <w:jc w:val="both"/>
        <w:rPr>
          <w:rFonts w:ascii="Times New Roman" w:hAnsi="Times New Roman" w:cs="Times New Roman"/>
          <w:sz w:val="24"/>
          <w:szCs w:val="24"/>
        </w:rPr>
      </w:pPr>
      <w:r w:rsidRPr="002B2CA6">
        <w:rPr>
          <w:rFonts w:ascii="Times New Roman" w:hAnsi="Times New Roman" w:cs="Times New Roman"/>
          <w:sz w:val="24"/>
          <w:szCs w:val="24"/>
        </w:rPr>
        <w:t>-</w:t>
      </w:r>
      <w:r w:rsidRPr="002B2CA6">
        <w:rPr>
          <w:rFonts w:ascii="Times New Roman" w:hAnsi="Times New Roman" w:cs="Times New Roman"/>
          <w:sz w:val="24"/>
          <w:szCs w:val="24"/>
        </w:rPr>
        <w:tab/>
        <w:t xml:space="preserve">Удостоверения за поддържане, ремонтиране и преустройване на съоръжения с повишена опасност, издадени от ДАМТН с № СТ </w:t>
      </w:r>
      <w:r w:rsidR="00E730DC" w:rsidRPr="002B2CA6">
        <w:rPr>
          <w:rFonts w:ascii="Times New Roman" w:hAnsi="Times New Roman" w:cs="Times New Roman"/>
          <w:sz w:val="24"/>
          <w:szCs w:val="24"/>
        </w:rPr>
        <w:t>14</w:t>
      </w:r>
      <w:r w:rsidRPr="002B2CA6">
        <w:rPr>
          <w:rFonts w:ascii="Times New Roman" w:hAnsi="Times New Roman" w:cs="Times New Roman"/>
          <w:sz w:val="24"/>
          <w:szCs w:val="24"/>
        </w:rPr>
        <w:t>8/</w:t>
      </w:r>
      <w:r w:rsidR="00E730DC" w:rsidRPr="002B2CA6">
        <w:rPr>
          <w:rFonts w:ascii="Times New Roman" w:hAnsi="Times New Roman" w:cs="Times New Roman"/>
          <w:sz w:val="24"/>
          <w:szCs w:val="24"/>
        </w:rPr>
        <w:t>10</w:t>
      </w:r>
      <w:r w:rsidRPr="002B2CA6">
        <w:rPr>
          <w:rFonts w:ascii="Times New Roman" w:hAnsi="Times New Roman" w:cs="Times New Roman"/>
          <w:sz w:val="24"/>
          <w:szCs w:val="24"/>
        </w:rPr>
        <w:t>.</w:t>
      </w:r>
      <w:r w:rsidR="00E730DC" w:rsidRPr="002B2CA6">
        <w:rPr>
          <w:rFonts w:ascii="Times New Roman" w:hAnsi="Times New Roman" w:cs="Times New Roman"/>
          <w:sz w:val="24"/>
          <w:szCs w:val="24"/>
        </w:rPr>
        <w:t>11</w:t>
      </w:r>
      <w:r w:rsidRPr="002B2CA6">
        <w:rPr>
          <w:rFonts w:ascii="Times New Roman" w:hAnsi="Times New Roman" w:cs="Times New Roman"/>
          <w:sz w:val="24"/>
          <w:szCs w:val="24"/>
        </w:rPr>
        <w:t>.20</w:t>
      </w:r>
      <w:r w:rsidR="00E730DC" w:rsidRPr="002B2CA6">
        <w:rPr>
          <w:rFonts w:ascii="Times New Roman" w:hAnsi="Times New Roman" w:cs="Times New Roman"/>
          <w:sz w:val="24"/>
          <w:szCs w:val="24"/>
        </w:rPr>
        <w:t>14</w:t>
      </w:r>
      <w:r w:rsidRPr="002B2CA6">
        <w:rPr>
          <w:rFonts w:ascii="Times New Roman" w:hAnsi="Times New Roman" w:cs="Times New Roman"/>
          <w:sz w:val="24"/>
          <w:szCs w:val="24"/>
        </w:rPr>
        <w:t xml:space="preserve"> г. и № СТ 1</w:t>
      </w:r>
      <w:r w:rsidR="00E730DC" w:rsidRPr="002B2CA6">
        <w:rPr>
          <w:rFonts w:ascii="Times New Roman" w:hAnsi="Times New Roman" w:cs="Times New Roman"/>
          <w:sz w:val="24"/>
          <w:szCs w:val="24"/>
        </w:rPr>
        <w:t>83</w:t>
      </w:r>
      <w:r w:rsidRPr="002B2CA6">
        <w:rPr>
          <w:rFonts w:ascii="Times New Roman" w:hAnsi="Times New Roman" w:cs="Times New Roman"/>
          <w:sz w:val="24"/>
          <w:szCs w:val="24"/>
        </w:rPr>
        <w:t>/</w:t>
      </w:r>
      <w:r w:rsidR="00E730DC" w:rsidRPr="002B2CA6">
        <w:rPr>
          <w:rFonts w:ascii="Times New Roman" w:hAnsi="Times New Roman" w:cs="Times New Roman"/>
          <w:sz w:val="24"/>
          <w:szCs w:val="24"/>
        </w:rPr>
        <w:t>21</w:t>
      </w:r>
      <w:r w:rsidRPr="002B2CA6">
        <w:rPr>
          <w:rFonts w:ascii="Times New Roman" w:hAnsi="Times New Roman" w:cs="Times New Roman"/>
          <w:sz w:val="24"/>
          <w:szCs w:val="24"/>
        </w:rPr>
        <w:t>.</w:t>
      </w:r>
      <w:r w:rsidR="00E730DC" w:rsidRPr="002B2CA6">
        <w:rPr>
          <w:rFonts w:ascii="Times New Roman" w:hAnsi="Times New Roman" w:cs="Times New Roman"/>
          <w:sz w:val="24"/>
          <w:szCs w:val="24"/>
        </w:rPr>
        <w:t>0</w:t>
      </w:r>
      <w:r w:rsidRPr="002B2CA6">
        <w:rPr>
          <w:rFonts w:ascii="Times New Roman" w:hAnsi="Times New Roman" w:cs="Times New Roman"/>
          <w:sz w:val="24"/>
          <w:szCs w:val="24"/>
        </w:rPr>
        <w:t>1.20</w:t>
      </w:r>
      <w:r w:rsidR="00E730DC" w:rsidRPr="002B2CA6">
        <w:rPr>
          <w:rFonts w:ascii="Times New Roman" w:hAnsi="Times New Roman" w:cs="Times New Roman"/>
          <w:sz w:val="24"/>
          <w:szCs w:val="24"/>
        </w:rPr>
        <w:t>21</w:t>
      </w:r>
      <w:r w:rsidRPr="002B2CA6">
        <w:rPr>
          <w:rFonts w:ascii="Times New Roman" w:hAnsi="Times New Roman" w:cs="Times New Roman"/>
          <w:sz w:val="24"/>
          <w:szCs w:val="24"/>
        </w:rPr>
        <w:t xml:space="preserve"> г.</w:t>
      </w:r>
    </w:p>
    <w:p w14:paraId="0145BE9E" w14:textId="1583DE0B" w:rsidR="006B0F18" w:rsidRPr="002B2CA6" w:rsidRDefault="00D71840">
      <w:pPr>
        <w:spacing w:after="120" w:line="240" w:lineRule="auto"/>
        <w:jc w:val="both"/>
        <w:rPr>
          <w:rFonts w:ascii="Times New Roman" w:hAnsi="Times New Roman" w:cs="Times New Roman"/>
          <w:sz w:val="24"/>
          <w:szCs w:val="24"/>
        </w:rPr>
      </w:pPr>
      <w:r w:rsidRPr="002B2CA6">
        <w:rPr>
          <w:rFonts w:ascii="Times New Roman" w:hAnsi="Times New Roman" w:cs="Times New Roman"/>
          <w:sz w:val="24"/>
          <w:szCs w:val="24"/>
        </w:rPr>
        <w:t>-</w:t>
      </w:r>
      <w:r w:rsidRPr="002B2CA6">
        <w:rPr>
          <w:rFonts w:ascii="Times New Roman" w:hAnsi="Times New Roman" w:cs="Times New Roman"/>
          <w:sz w:val="24"/>
          <w:szCs w:val="24"/>
        </w:rPr>
        <w:tab/>
        <w:t>Акредитация на Орган за контрол „Контрол на метала“ от вид С, съгласно БДС EN ISO/IEC 17020:2012 издадена от БСА с № 194 ОКС /28.02.20</w:t>
      </w:r>
      <w:r w:rsidR="00035926" w:rsidRPr="002B2CA6">
        <w:rPr>
          <w:rFonts w:ascii="Times New Roman" w:hAnsi="Times New Roman" w:cs="Times New Roman"/>
          <w:sz w:val="24"/>
          <w:szCs w:val="24"/>
        </w:rPr>
        <w:t>22</w:t>
      </w:r>
      <w:r w:rsidRPr="002B2CA6">
        <w:rPr>
          <w:rFonts w:ascii="Times New Roman" w:hAnsi="Times New Roman" w:cs="Times New Roman"/>
          <w:sz w:val="24"/>
          <w:szCs w:val="24"/>
        </w:rPr>
        <w:t xml:space="preserve"> г. (валидна до 28.02.202</w:t>
      </w:r>
      <w:r w:rsidR="00035926" w:rsidRPr="002B2CA6">
        <w:rPr>
          <w:rFonts w:ascii="Times New Roman" w:hAnsi="Times New Roman" w:cs="Times New Roman"/>
          <w:sz w:val="24"/>
          <w:szCs w:val="24"/>
        </w:rPr>
        <w:t>6</w:t>
      </w:r>
      <w:r w:rsidRPr="002B2CA6">
        <w:rPr>
          <w:rFonts w:ascii="Times New Roman" w:hAnsi="Times New Roman" w:cs="Times New Roman"/>
          <w:sz w:val="24"/>
          <w:szCs w:val="24"/>
        </w:rPr>
        <w:t xml:space="preserve"> г.).</w:t>
      </w:r>
    </w:p>
    <w:p w14:paraId="733C8824" w14:textId="19BB6B26" w:rsidR="000A16C8" w:rsidRPr="000A16C8" w:rsidRDefault="003D51C0">
      <w:pPr>
        <w:spacing w:after="0" w:line="240" w:lineRule="auto"/>
        <w:jc w:val="both"/>
        <w:rPr>
          <w:rFonts w:ascii="Times New Roman" w:hAnsi="Times New Roman" w:cs="Times New Roman"/>
          <w:sz w:val="24"/>
          <w:szCs w:val="24"/>
        </w:rPr>
      </w:pPr>
      <w:r w:rsidRPr="002B2CA6">
        <w:rPr>
          <w:rFonts w:ascii="Times New Roman" w:hAnsi="Times New Roman" w:cs="Times New Roman"/>
          <w:sz w:val="24"/>
          <w:szCs w:val="24"/>
          <w:lang w:val="en-US"/>
        </w:rPr>
        <w:t>-</w:t>
      </w:r>
      <w:r>
        <w:rPr>
          <w:rFonts w:ascii="Times New Roman" w:hAnsi="Times New Roman" w:cs="Times New Roman"/>
          <w:sz w:val="24"/>
          <w:szCs w:val="24"/>
          <w:lang w:val="en-US"/>
        </w:rPr>
        <w:tab/>
      </w:r>
      <w:r w:rsidR="000A16C8" w:rsidRPr="002B2CA6">
        <w:rPr>
          <w:rFonts w:ascii="Times New Roman" w:hAnsi="Times New Roman" w:cs="Times New Roman"/>
          <w:sz w:val="24"/>
          <w:szCs w:val="24"/>
        </w:rPr>
        <w:t xml:space="preserve">Акредитация на “Лаборатория за изпитване на </w:t>
      </w:r>
      <w:proofErr w:type="gramStart"/>
      <w:r w:rsidR="000A16C8" w:rsidRPr="002B2CA6">
        <w:rPr>
          <w:rFonts w:ascii="Times New Roman" w:hAnsi="Times New Roman" w:cs="Times New Roman"/>
          <w:sz w:val="24"/>
          <w:szCs w:val="24"/>
        </w:rPr>
        <w:t>въглища“</w:t>
      </w:r>
      <w:proofErr w:type="gramEnd"/>
      <w:r w:rsidR="000A16C8" w:rsidRPr="002B2CA6">
        <w:rPr>
          <w:rFonts w:ascii="Times New Roman" w:hAnsi="Times New Roman" w:cs="Times New Roman"/>
          <w:sz w:val="24"/>
          <w:szCs w:val="24"/>
        </w:rPr>
        <w:t xml:space="preserve">, съгласно БДС </w:t>
      </w:r>
      <w:r w:rsidR="000A16C8" w:rsidRPr="002B2CA6">
        <w:rPr>
          <w:rFonts w:ascii="Times New Roman" w:hAnsi="Times New Roman" w:cs="Times New Roman"/>
          <w:sz w:val="24"/>
          <w:szCs w:val="24"/>
          <w:lang w:val="en-US"/>
        </w:rPr>
        <w:t>EN</w:t>
      </w:r>
      <w:r w:rsidR="000A16C8" w:rsidRPr="002B2CA6">
        <w:rPr>
          <w:rFonts w:ascii="Times New Roman" w:hAnsi="Times New Roman" w:cs="Times New Roman"/>
          <w:sz w:val="24"/>
          <w:szCs w:val="24"/>
        </w:rPr>
        <w:t xml:space="preserve"> </w:t>
      </w:r>
      <w:r w:rsidR="000A16C8" w:rsidRPr="002B2CA6">
        <w:rPr>
          <w:rFonts w:ascii="Times New Roman" w:hAnsi="Times New Roman" w:cs="Times New Roman"/>
          <w:sz w:val="24"/>
          <w:szCs w:val="24"/>
          <w:lang w:val="en-US"/>
        </w:rPr>
        <w:t>ISO</w:t>
      </w:r>
      <w:r w:rsidR="000A16C8" w:rsidRPr="002B2CA6">
        <w:rPr>
          <w:rFonts w:ascii="Times New Roman" w:hAnsi="Times New Roman" w:cs="Times New Roman"/>
          <w:sz w:val="24"/>
          <w:szCs w:val="24"/>
        </w:rPr>
        <w:t xml:space="preserve">/ </w:t>
      </w:r>
      <w:r w:rsidR="000A16C8" w:rsidRPr="002B2CA6">
        <w:rPr>
          <w:rFonts w:ascii="Times New Roman" w:hAnsi="Times New Roman" w:cs="Times New Roman"/>
          <w:sz w:val="24"/>
          <w:szCs w:val="24"/>
          <w:lang w:val="en-US"/>
        </w:rPr>
        <w:t>IEC</w:t>
      </w:r>
      <w:r w:rsidR="000A16C8" w:rsidRPr="002B2CA6">
        <w:rPr>
          <w:rFonts w:ascii="Times New Roman" w:hAnsi="Times New Roman" w:cs="Times New Roman"/>
          <w:sz w:val="24"/>
          <w:szCs w:val="24"/>
        </w:rPr>
        <w:t xml:space="preserve"> 17025:2018 издадена от БСА с № 220 ЛИ / 07.09.2022 г. (валидна до 31.03.2026 г.).</w:t>
      </w:r>
    </w:p>
    <w:p w14:paraId="76EF4565" w14:textId="77777777" w:rsidR="000A16C8" w:rsidRDefault="000A16C8" w:rsidP="00B57AFB">
      <w:pPr>
        <w:spacing w:line="240" w:lineRule="auto"/>
        <w:ind w:firstLine="660"/>
        <w:jc w:val="both"/>
      </w:pPr>
    </w:p>
    <w:p w14:paraId="492FECB1" w14:textId="66E4E9EE" w:rsidR="000A16C8" w:rsidRPr="000A16C8" w:rsidRDefault="000A16C8" w:rsidP="00B57AFB">
      <w:pPr>
        <w:spacing w:line="240" w:lineRule="auto"/>
        <w:ind w:firstLine="660"/>
        <w:jc w:val="both"/>
        <w:rPr>
          <w:rFonts w:ascii="Times New Roman" w:hAnsi="Times New Roman" w:cs="Times New Roman"/>
          <w:sz w:val="24"/>
          <w:szCs w:val="24"/>
        </w:rPr>
      </w:pPr>
      <w:r w:rsidRPr="000A16C8">
        <w:rPr>
          <w:rFonts w:ascii="Times New Roman" w:hAnsi="Times New Roman" w:cs="Times New Roman"/>
          <w:sz w:val="24"/>
          <w:szCs w:val="24"/>
        </w:rPr>
        <w:t>Използваните в практиката на „ТЕЦ Марица изток 2” ЕАД законодателни, нормативни документи и стандарти (закони, директиви, наредби, правилници, стандарти, вътрешни процедури и регламенти) се управляват, поддържат и  разпространяват в актуално състояние чрез поддържането на електронен регистър към Интегрирана система за управление (ИСУ). Тази система включва сертифицираните:</w:t>
      </w:r>
    </w:p>
    <w:p w14:paraId="4E982D4C" w14:textId="394D36AC" w:rsidR="000A16C8" w:rsidRPr="000A16C8" w:rsidRDefault="000A16C8" w:rsidP="00B57AFB">
      <w:pPr>
        <w:spacing w:line="240" w:lineRule="auto"/>
        <w:ind w:firstLine="660"/>
        <w:jc w:val="both"/>
        <w:rPr>
          <w:rFonts w:ascii="Times New Roman" w:hAnsi="Times New Roman" w:cs="Times New Roman"/>
          <w:sz w:val="24"/>
          <w:szCs w:val="24"/>
          <w:lang w:val="ru-RU"/>
        </w:rPr>
      </w:pPr>
      <w:r w:rsidRPr="000A16C8">
        <w:rPr>
          <w:rFonts w:ascii="Times New Roman" w:hAnsi="Times New Roman" w:cs="Times New Roman"/>
          <w:sz w:val="24"/>
          <w:szCs w:val="24"/>
          <w:lang w:val="ru-RU"/>
        </w:rPr>
        <w:t xml:space="preserve">Система за управление на качеството, съгласно </w:t>
      </w:r>
      <w:r w:rsidRPr="000A16C8">
        <w:rPr>
          <w:rFonts w:ascii="Times New Roman" w:hAnsi="Times New Roman" w:cs="Times New Roman"/>
          <w:sz w:val="24"/>
          <w:szCs w:val="24"/>
          <w:lang w:val="en-US"/>
        </w:rPr>
        <w:t>ISO</w:t>
      </w:r>
      <w:r w:rsidRPr="000A16C8">
        <w:rPr>
          <w:rFonts w:ascii="Times New Roman" w:hAnsi="Times New Roman" w:cs="Times New Roman"/>
          <w:sz w:val="24"/>
          <w:szCs w:val="24"/>
          <w:lang w:val="ru-RU"/>
        </w:rPr>
        <w:t xml:space="preserve"> 9001:20</w:t>
      </w:r>
      <w:r w:rsidRPr="000A16C8">
        <w:rPr>
          <w:rFonts w:ascii="Times New Roman" w:hAnsi="Times New Roman" w:cs="Times New Roman"/>
          <w:sz w:val="24"/>
          <w:szCs w:val="24"/>
        </w:rPr>
        <w:t>15</w:t>
      </w:r>
      <w:r w:rsidRPr="000A16C8">
        <w:rPr>
          <w:rFonts w:ascii="Times New Roman" w:hAnsi="Times New Roman" w:cs="Times New Roman"/>
          <w:b/>
          <w:sz w:val="24"/>
          <w:szCs w:val="24"/>
          <w:lang w:val="ru-RU"/>
        </w:rPr>
        <w:t xml:space="preserve"> </w:t>
      </w:r>
      <w:r w:rsidRPr="000A16C8">
        <w:rPr>
          <w:rFonts w:ascii="Times New Roman" w:hAnsi="Times New Roman" w:cs="Times New Roman"/>
          <w:sz w:val="24"/>
          <w:szCs w:val="24"/>
          <w:lang w:val="ru-RU"/>
        </w:rPr>
        <w:t>със</w:t>
      </w:r>
      <w:r w:rsidRPr="000A16C8">
        <w:rPr>
          <w:rFonts w:ascii="Times New Roman" w:hAnsi="Times New Roman" w:cs="Times New Roman"/>
          <w:b/>
          <w:sz w:val="24"/>
          <w:szCs w:val="24"/>
          <w:lang w:val="ru-RU"/>
        </w:rPr>
        <w:t xml:space="preserve"> </w:t>
      </w:r>
      <w:r w:rsidRPr="000A16C8">
        <w:rPr>
          <w:rFonts w:ascii="Times New Roman" w:hAnsi="Times New Roman" w:cs="Times New Roman"/>
          <w:sz w:val="24"/>
          <w:szCs w:val="24"/>
        </w:rPr>
        <w:t xml:space="preserve"> Сертификат № 01 100</w:t>
      </w:r>
      <w:r w:rsidRPr="000A16C8">
        <w:rPr>
          <w:rFonts w:ascii="Times New Roman" w:hAnsi="Times New Roman" w:cs="Times New Roman"/>
          <w:sz w:val="24"/>
          <w:szCs w:val="24"/>
          <w:lang w:val="en-US"/>
        </w:rPr>
        <w:t> </w:t>
      </w:r>
      <w:r w:rsidRPr="000A16C8">
        <w:rPr>
          <w:rFonts w:ascii="Times New Roman" w:hAnsi="Times New Roman" w:cs="Times New Roman"/>
          <w:sz w:val="24"/>
          <w:szCs w:val="24"/>
        </w:rPr>
        <w:t>133  4435</w:t>
      </w:r>
      <w:r w:rsidR="00666686">
        <w:rPr>
          <w:rFonts w:ascii="Times New Roman" w:hAnsi="Times New Roman" w:cs="Times New Roman"/>
          <w:sz w:val="24"/>
          <w:szCs w:val="24"/>
          <w:lang w:val="en-US"/>
        </w:rPr>
        <w:t xml:space="preserve"> – </w:t>
      </w:r>
      <w:r w:rsidR="00666686">
        <w:rPr>
          <w:rFonts w:ascii="Times New Roman" w:hAnsi="Times New Roman" w:cs="Times New Roman"/>
          <w:sz w:val="24"/>
          <w:szCs w:val="24"/>
        </w:rPr>
        <w:t>валиден до 17.08.2027 г.</w:t>
      </w:r>
      <w:r w:rsidRPr="000A16C8">
        <w:rPr>
          <w:rFonts w:ascii="Times New Roman" w:hAnsi="Times New Roman" w:cs="Times New Roman"/>
          <w:sz w:val="24"/>
          <w:szCs w:val="24"/>
        </w:rPr>
        <w:t>;</w:t>
      </w:r>
    </w:p>
    <w:p w14:paraId="6204FB51" w14:textId="77F210F2" w:rsidR="00666686" w:rsidRPr="000A16C8" w:rsidRDefault="000A16C8" w:rsidP="00B57AFB">
      <w:pPr>
        <w:spacing w:line="240" w:lineRule="auto"/>
        <w:ind w:firstLine="660"/>
        <w:jc w:val="both"/>
        <w:rPr>
          <w:rFonts w:ascii="Times New Roman" w:hAnsi="Times New Roman" w:cs="Times New Roman"/>
          <w:sz w:val="24"/>
          <w:szCs w:val="24"/>
          <w:lang w:val="ru-RU"/>
        </w:rPr>
      </w:pPr>
      <w:r w:rsidRPr="000A16C8">
        <w:rPr>
          <w:rFonts w:ascii="Times New Roman" w:hAnsi="Times New Roman" w:cs="Times New Roman"/>
          <w:sz w:val="24"/>
          <w:szCs w:val="24"/>
          <w:lang w:val="ru-RU"/>
        </w:rPr>
        <w:lastRenderedPageBreak/>
        <w:t xml:space="preserve">Система за управление на околната среда, съгласно </w:t>
      </w:r>
      <w:r w:rsidRPr="00262A52">
        <w:rPr>
          <w:rFonts w:ascii="Times New Roman" w:hAnsi="Times New Roman" w:cs="Times New Roman"/>
          <w:sz w:val="24"/>
          <w:szCs w:val="24"/>
          <w:lang w:val="ru-RU"/>
        </w:rPr>
        <w:t>ISO</w:t>
      </w:r>
      <w:r w:rsidRPr="000A16C8">
        <w:rPr>
          <w:rFonts w:ascii="Times New Roman" w:hAnsi="Times New Roman" w:cs="Times New Roman"/>
          <w:sz w:val="24"/>
          <w:szCs w:val="24"/>
          <w:lang w:val="ru-RU"/>
        </w:rPr>
        <w:t xml:space="preserve"> 14001:2015</w:t>
      </w:r>
      <w:r w:rsidRPr="00262A52">
        <w:rPr>
          <w:rFonts w:ascii="Times New Roman" w:hAnsi="Times New Roman" w:cs="Times New Roman"/>
          <w:sz w:val="24"/>
          <w:szCs w:val="24"/>
          <w:lang w:val="ru-RU"/>
        </w:rPr>
        <w:t xml:space="preserve"> </w:t>
      </w:r>
      <w:r w:rsidRPr="000A16C8">
        <w:rPr>
          <w:rFonts w:ascii="Times New Roman" w:hAnsi="Times New Roman" w:cs="Times New Roman"/>
          <w:sz w:val="24"/>
          <w:szCs w:val="24"/>
          <w:lang w:val="ru-RU"/>
        </w:rPr>
        <w:t>със</w:t>
      </w:r>
      <w:r w:rsidRPr="00262A52">
        <w:rPr>
          <w:rFonts w:ascii="Times New Roman" w:hAnsi="Times New Roman" w:cs="Times New Roman"/>
          <w:sz w:val="24"/>
          <w:szCs w:val="24"/>
          <w:lang w:val="ru-RU"/>
        </w:rPr>
        <w:t xml:space="preserve">  Сертификат № </w:t>
      </w:r>
      <w:r w:rsidRPr="000A16C8">
        <w:rPr>
          <w:rFonts w:ascii="Times New Roman" w:hAnsi="Times New Roman" w:cs="Times New Roman"/>
          <w:sz w:val="24"/>
          <w:szCs w:val="24"/>
          <w:lang w:val="ru-RU"/>
        </w:rPr>
        <w:t>01 104 133 4435</w:t>
      </w:r>
      <w:r w:rsidR="00666686">
        <w:rPr>
          <w:rFonts w:ascii="Times New Roman" w:hAnsi="Times New Roman" w:cs="Times New Roman"/>
          <w:sz w:val="24"/>
          <w:szCs w:val="24"/>
          <w:lang w:val="ru-RU"/>
        </w:rPr>
        <w:t xml:space="preserve"> - </w:t>
      </w:r>
      <w:r w:rsidR="00666686" w:rsidRPr="00262A52">
        <w:rPr>
          <w:rFonts w:ascii="Times New Roman" w:hAnsi="Times New Roman" w:cs="Times New Roman"/>
          <w:sz w:val="24"/>
          <w:szCs w:val="24"/>
          <w:lang w:val="ru-RU"/>
        </w:rPr>
        <w:t>валиден до 02.02.2027 г.;</w:t>
      </w:r>
    </w:p>
    <w:p w14:paraId="18680222" w14:textId="6DEE079F" w:rsidR="00666686" w:rsidRPr="000A16C8" w:rsidRDefault="000A16C8" w:rsidP="00B57AFB">
      <w:pPr>
        <w:spacing w:line="240" w:lineRule="auto"/>
        <w:ind w:firstLine="660"/>
        <w:jc w:val="both"/>
        <w:rPr>
          <w:rFonts w:ascii="Times New Roman" w:hAnsi="Times New Roman" w:cs="Times New Roman"/>
          <w:sz w:val="24"/>
          <w:szCs w:val="24"/>
          <w:lang w:val="ru-RU"/>
        </w:rPr>
      </w:pPr>
      <w:r w:rsidRPr="000A16C8">
        <w:rPr>
          <w:rFonts w:ascii="Times New Roman" w:hAnsi="Times New Roman" w:cs="Times New Roman"/>
          <w:sz w:val="24"/>
          <w:szCs w:val="24"/>
        </w:rPr>
        <w:t xml:space="preserve">Система за управление на здравето и безопасността при работа, съгласно БДС </w:t>
      </w:r>
      <w:r w:rsidRPr="000A16C8">
        <w:rPr>
          <w:rFonts w:ascii="Times New Roman" w:hAnsi="Times New Roman" w:cs="Times New Roman"/>
          <w:sz w:val="24"/>
          <w:szCs w:val="24"/>
          <w:lang w:val="en-US"/>
        </w:rPr>
        <w:t>ISO</w:t>
      </w:r>
      <w:r w:rsidRPr="000A16C8">
        <w:rPr>
          <w:rFonts w:ascii="Times New Roman" w:hAnsi="Times New Roman" w:cs="Times New Roman"/>
          <w:sz w:val="24"/>
          <w:szCs w:val="24"/>
          <w:lang w:val="ru-RU"/>
        </w:rPr>
        <w:t xml:space="preserve"> </w:t>
      </w:r>
      <w:r w:rsidRPr="000A16C8">
        <w:rPr>
          <w:rFonts w:ascii="Times New Roman" w:hAnsi="Times New Roman" w:cs="Times New Roman"/>
          <w:sz w:val="24"/>
          <w:szCs w:val="24"/>
        </w:rPr>
        <w:t xml:space="preserve">45001:2018 </w:t>
      </w:r>
      <w:r w:rsidRPr="000A16C8">
        <w:rPr>
          <w:rFonts w:ascii="Times New Roman" w:hAnsi="Times New Roman" w:cs="Times New Roman"/>
          <w:sz w:val="24"/>
          <w:szCs w:val="24"/>
          <w:lang w:val="ru-RU"/>
        </w:rPr>
        <w:t>със</w:t>
      </w:r>
      <w:r w:rsidRPr="000A16C8">
        <w:rPr>
          <w:rFonts w:ascii="Times New Roman" w:hAnsi="Times New Roman" w:cs="Times New Roman"/>
          <w:sz w:val="24"/>
          <w:szCs w:val="24"/>
        </w:rPr>
        <w:t xml:space="preserve"> Сертификат № </w:t>
      </w:r>
      <w:r w:rsidRPr="000A16C8">
        <w:rPr>
          <w:rFonts w:ascii="Times New Roman" w:hAnsi="Times New Roman" w:cs="Times New Roman"/>
          <w:sz w:val="24"/>
          <w:szCs w:val="24"/>
          <w:lang w:val="en-US"/>
        </w:rPr>
        <w:t>TRBA</w:t>
      </w:r>
      <w:r w:rsidRPr="000A16C8">
        <w:rPr>
          <w:rFonts w:ascii="Times New Roman" w:hAnsi="Times New Roman" w:cs="Times New Roman"/>
          <w:sz w:val="24"/>
          <w:szCs w:val="24"/>
          <w:lang w:val="ru-RU"/>
        </w:rPr>
        <w:t xml:space="preserve"> 113 0012</w:t>
      </w:r>
      <w:r w:rsidR="00666686">
        <w:rPr>
          <w:rFonts w:ascii="Times New Roman" w:hAnsi="Times New Roman" w:cs="Times New Roman"/>
          <w:sz w:val="24"/>
          <w:szCs w:val="24"/>
          <w:lang w:val="ru-RU"/>
        </w:rPr>
        <w:t xml:space="preserve"> - </w:t>
      </w:r>
      <w:r w:rsidR="00666686">
        <w:rPr>
          <w:rFonts w:ascii="Times New Roman" w:hAnsi="Times New Roman" w:cs="Times New Roman"/>
          <w:sz w:val="24"/>
          <w:szCs w:val="24"/>
        </w:rPr>
        <w:t>валиден до 03.11.2025 г.</w:t>
      </w:r>
      <w:r w:rsidR="00666686" w:rsidRPr="000A16C8">
        <w:rPr>
          <w:rFonts w:ascii="Times New Roman" w:hAnsi="Times New Roman" w:cs="Times New Roman"/>
          <w:sz w:val="24"/>
          <w:szCs w:val="24"/>
        </w:rPr>
        <w:t>;</w:t>
      </w:r>
    </w:p>
    <w:p w14:paraId="62366B96" w14:textId="77777777" w:rsidR="000A16C8" w:rsidRPr="000A16C8" w:rsidRDefault="000A16C8" w:rsidP="00B57AFB">
      <w:pPr>
        <w:spacing w:line="240" w:lineRule="auto"/>
        <w:ind w:firstLine="709"/>
        <w:jc w:val="both"/>
        <w:rPr>
          <w:rFonts w:ascii="Times New Roman" w:hAnsi="Times New Roman" w:cs="Times New Roman"/>
          <w:sz w:val="24"/>
          <w:szCs w:val="24"/>
          <w:lang w:val="ru-RU"/>
        </w:rPr>
      </w:pPr>
      <w:r w:rsidRPr="000A16C8">
        <w:rPr>
          <w:rFonts w:ascii="Times New Roman" w:hAnsi="Times New Roman" w:cs="Times New Roman"/>
          <w:sz w:val="24"/>
          <w:szCs w:val="24"/>
          <w:lang w:val="ru-RU"/>
        </w:rPr>
        <w:t>Дружеството осъществява дейността си при спазване на изискванията и условията на действащата нормативна уредба на Република България и действащото Европейско законодателство:</w:t>
      </w:r>
    </w:p>
    <w:p w14:paraId="5CCA4BE8" w14:textId="77777777" w:rsidR="000A16C8" w:rsidRPr="000A16C8" w:rsidRDefault="000A16C8" w:rsidP="003D51C0">
      <w:pPr>
        <w:numPr>
          <w:ilvl w:val="0"/>
          <w:numId w:val="24"/>
        </w:numPr>
        <w:tabs>
          <w:tab w:val="clear" w:pos="1440"/>
          <w:tab w:val="num" w:pos="990"/>
        </w:tabs>
        <w:spacing w:after="0" w:line="240" w:lineRule="auto"/>
        <w:ind w:left="0" w:firstLine="660"/>
        <w:jc w:val="both"/>
        <w:rPr>
          <w:rFonts w:ascii="Times New Roman" w:hAnsi="Times New Roman" w:cs="Times New Roman"/>
          <w:sz w:val="24"/>
          <w:szCs w:val="24"/>
        </w:rPr>
      </w:pPr>
      <w:r w:rsidRPr="000A16C8">
        <w:rPr>
          <w:rFonts w:ascii="Times New Roman" w:hAnsi="Times New Roman" w:cs="Times New Roman"/>
          <w:sz w:val="24"/>
          <w:szCs w:val="24"/>
        </w:rPr>
        <w:t>Директива 2009/72/ЕО на Европейския парламент и на Съвета от 13  юли 2009  г. относно общите правила за вътрешния пазар на електроенергия и за отмяна на Директива 2003/54/ЕО</w:t>
      </w:r>
    </w:p>
    <w:p w14:paraId="57CEEB21" w14:textId="77777777" w:rsidR="000A16C8" w:rsidRPr="000A16C8" w:rsidRDefault="000A16C8" w:rsidP="00B57AFB">
      <w:pPr>
        <w:numPr>
          <w:ilvl w:val="0"/>
          <w:numId w:val="24"/>
        </w:numPr>
        <w:tabs>
          <w:tab w:val="clear" w:pos="1440"/>
          <w:tab w:val="num" w:pos="990"/>
        </w:tabs>
        <w:spacing w:after="0" w:line="240" w:lineRule="auto"/>
        <w:ind w:left="0" w:firstLine="660"/>
        <w:jc w:val="both"/>
        <w:rPr>
          <w:rFonts w:ascii="Times New Roman" w:hAnsi="Times New Roman" w:cs="Times New Roman"/>
          <w:sz w:val="24"/>
          <w:szCs w:val="24"/>
        </w:rPr>
      </w:pPr>
      <w:r w:rsidRPr="000A16C8">
        <w:rPr>
          <w:rFonts w:ascii="Times New Roman" w:hAnsi="Times New Roman" w:cs="Times New Roman"/>
          <w:sz w:val="24"/>
          <w:szCs w:val="24"/>
        </w:rPr>
        <w:t>Регламент (ЕС) № 1227/2011 на Европейския парламент и Съвета от 25 октомври 2011 г. относно интегритета и прозрачността на пазара за търговия на едро с енергия.</w:t>
      </w:r>
    </w:p>
    <w:p w14:paraId="381F47C0" w14:textId="77777777" w:rsidR="000A16C8" w:rsidRPr="000A16C8" w:rsidRDefault="000A16C8" w:rsidP="00B57AFB">
      <w:pPr>
        <w:numPr>
          <w:ilvl w:val="0"/>
          <w:numId w:val="24"/>
        </w:numPr>
        <w:tabs>
          <w:tab w:val="clear" w:pos="1440"/>
          <w:tab w:val="num" w:pos="990"/>
        </w:tabs>
        <w:spacing w:after="0" w:line="240" w:lineRule="auto"/>
        <w:ind w:left="0" w:firstLine="660"/>
        <w:jc w:val="both"/>
        <w:rPr>
          <w:rFonts w:ascii="Times New Roman" w:hAnsi="Times New Roman" w:cs="Times New Roman"/>
          <w:sz w:val="24"/>
          <w:szCs w:val="24"/>
        </w:rPr>
      </w:pPr>
      <w:r w:rsidRPr="000A16C8">
        <w:rPr>
          <w:rFonts w:ascii="Times New Roman" w:hAnsi="Times New Roman" w:cs="Times New Roman"/>
          <w:sz w:val="24"/>
          <w:szCs w:val="24"/>
        </w:rPr>
        <w:t>Регламент за изпълнение (ЕС) № 1348/2014 на Европейската Комисия от 17 декември 2014 г. за прилагане на член 8, параграфи 2 и 6 от Регламент (ЕС) № 1227/2011 на Европейския парламент и на Съвета относно интегритета и прозрачността на пазара за търговия на едро с енергия по отношение на докладването на данни;</w:t>
      </w:r>
    </w:p>
    <w:p w14:paraId="231066C5" w14:textId="77777777" w:rsidR="000A16C8" w:rsidRPr="000A16C8" w:rsidRDefault="000A16C8" w:rsidP="00B57AFB">
      <w:pPr>
        <w:numPr>
          <w:ilvl w:val="0"/>
          <w:numId w:val="24"/>
        </w:numPr>
        <w:tabs>
          <w:tab w:val="clear" w:pos="1440"/>
          <w:tab w:val="num" w:pos="990"/>
        </w:tabs>
        <w:spacing w:after="0" w:line="240" w:lineRule="auto"/>
        <w:ind w:left="0" w:firstLine="660"/>
        <w:jc w:val="both"/>
        <w:rPr>
          <w:rFonts w:ascii="Times New Roman" w:hAnsi="Times New Roman" w:cs="Times New Roman"/>
          <w:sz w:val="24"/>
          <w:szCs w:val="24"/>
        </w:rPr>
      </w:pPr>
      <w:r w:rsidRPr="000A16C8">
        <w:rPr>
          <w:rFonts w:ascii="Times New Roman" w:hAnsi="Times New Roman" w:cs="Times New Roman"/>
          <w:sz w:val="24"/>
          <w:szCs w:val="24"/>
        </w:rPr>
        <w:t>Директива 2010/75/ЕС на Европейския парламент и на Съвета от 24 ноември 2010 г. относно емисиите от промишлеността (комплексно предотвратяване и контрол на замърсяването);</w:t>
      </w:r>
    </w:p>
    <w:p w14:paraId="47435B1F" w14:textId="77777777" w:rsidR="000A16C8" w:rsidRPr="000A16C8" w:rsidRDefault="000A16C8" w:rsidP="00B57AFB">
      <w:pPr>
        <w:numPr>
          <w:ilvl w:val="0"/>
          <w:numId w:val="24"/>
        </w:numPr>
        <w:tabs>
          <w:tab w:val="clear" w:pos="1440"/>
          <w:tab w:val="num" w:pos="990"/>
        </w:tabs>
        <w:spacing w:after="0" w:line="240" w:lineRule="auto"/>
        <w:ind w:left="0" w:firstLine="660"/>
        <w:jc w:val="both"/>
        <w:rPr>
          <w:rFonts w:ascii="Times New Roman" w:hAnsi="Times New Roman" w:cs="Times New Roman"/>
          <w:sz w:val="24"/>
          <w:szCs w:val="24"/>
        </w:rPr>
      </w:pPr>
      <w:r w:rsidRPr="000A16C8">
        <w:rPr>
          <w:rFonts w:ascii="Times New Roman" w:hAnsi="Times New Roman" w:cs="Times New Roman"/>
          <w:sz w:val="24"/>
          <w:szCs w:val="24"/>
        </w:rPr>
        <w:t xml:space="preserve">Решение за изпълнение (ЕС) 2017/1442 на Комисията от 31 юли 2017 година за формулиране на заключения за най-добри налични техники (НДНТ) за големи горивни инсталации съгласно Директива 2010/75/ЕС на Европейския парламент и на Съвета; </w:t>
      </w:r>
    </w:p>
    <w:p w14:paraId="7E0BA001" w14:textId="53D3D032" w:rsidR="000A16C8" w:rsidRPr="0049171F" w:rsidRDefault="000A16C8" w:rsidP="00B57AFB">
      <w:pPr>
        <w:numPr>
          <w:ilvl w:val="0"/>
          <w:numId w:val="24"/>
        </w:numPr>
        <w:tabs>
          <w:tab w:val="clear" w:pos="1440"/>
          <w:tab w:val="num" w:pos="990"/>
        </w:tabs>
        <w:spacing w:after="0" w:line="240" w:lineRule="auto"/>
        <w:ind w:left="0" w:firstLine="660"/>
        <w:jc w:val="both"/>
        <w:rPr>
          <w:rFonts w:ascii="Times New Roman" w:hAnsi="Times New Roman" w:cs="Times New Roman"/>
          <w:sz w:val="24"/>
          <w:szCs w:val="24"/>
        </w:rPr>
      </w:pPr>
      <w:r w:rsidRPr="0049171F">
        <w:rPr>
          <w:rFonts w:ascii="Times New Roman" w:hAnsi="Times New Roman" w:cs="Times New Roman"/>
          <w:sz w:val="24"/>
          <w:szCs w:val="24"/>
        </w:rPr>
        <w:t xml:space="preserve">Закон за енергетиката </w:t>
      </w:r>
      <w:r w:rsidR="00666686">
        <w:rPr>
          <w:rFonts w:ascii="Times New Roman" w:hAnsi="Times New Roman" w:cs="Times New Roman"/>
          <w:sz w:val="24"/>
          <w:szCs w:val="24"/>
          <w:lang w:val="en-US"/>
        </w:rPr>
        <w:t>(</w:t>
      </w:r>
      <w:r w:rsidR="00666686">
        <w:rPr>
          <w:rFonts w:ascii="Times New Roman" w:hAnsi="Times New Roman" w:cs="Times New Roman"/>
          <w:sz w:val="24"/>
          <w:szCs w:val="24"/>
        </w:rPr>
        <w:t xml:space="preserve">изм. и </w:t>
      </w:r>
      <w:proofErr w:type="spellStart"/>
      <w:r w:rsidR="00666686">
        <w:rPr>
          <w:rFonts w:ascii="Times New Roman" w:hAnsi="Times New Roman" w:cs="Times New Roman"/>
          <w:sz w:val="24"/>
          <w:szCs w:val="24"/>
        </w:rPr>
        <w:t>доп</w:t>
      </w:r>
      <w:proofErr w:type="spellEnd"/>
      <w:r w:rsidR="00666686">
        <w:rPr>
          <w:rFonts w:ascii="Times New Roman" w:hAnsi="Times New Roman" w:cs="Times New Roman"/>
          <w:sz w:val="24"/>
          <w:szCs w:val="24"/>
        </w:rPr>
        <w:t>.,ДВ бр.39 от 01.05.2024 г.</w:t>
      </w:r>
      <w:r w:rsidR="00666686">
        <w:rPr>
          <w:rFonts w:ascii="Times New Roman" w:hAnsi="Times New Roman" w:cs="Times New Roman"/>
          <w:sz w:val="24"/>
          <w:szCs w:val="24"/>
          <w:lang w:val="en-US"/>
        </w:rPr>
        <w:t>)</w:t>
      </w:r>
      <w:r w:rsidRPr="0049171F">
        <w:rPr>
          <w:rFonts w:ascii="Times New Roman" w:hAnsi="Times New Roman" w:cs="Times New Roman"/>
          <w:sz w:val="24"/>
          <w:szCs w:val="24"/>
        </w:rPr>
        <w:t>;</w:t>
      </w:r>
    </w:p>
    <w:p w14:paraId="1F064E36" w14:textId="77777777" w:rsidR="000A16C8" w:rsidRPr="000A16C8" w:rsidRDefault="000A16C8" w:rsidP="00B57AFB">
      <w:pPr>
        <w:numPr>
          <w:ilvl w:val="0"/>
          <w:numId w:val="24"/>
        </w:numPr>
        <w:tabs>
          <w:tab w:val="clear" w:pos="1440"/>
          <w:tab w:val="num" w:pos="990"/>
        </w:tabs>
        <w:spacing w:after="0" w:line="240" w:lineRule="auto"/>
        <w:ind w:left="0" w:firstLine="660"/>
        <w:jc w:val="both"/>
        <w:rPr>
          <w:rFonts w:ascii="Times New Roman" w:hAnsi="Times New Roman" w:cs="Times New Roman"/>
          <w:sz w:val="24"/>
          <w:szCs w:val="24"/>
        </w:rPr>
      </w:pPr>
      <w:r w:rsidRPr="000A16C8">
        <w:rPr>
          <w:rFonts w:ascii="Times New Roman" w:hAnsi="Times New Roman" w:cs="Times New Roman"/>
          <w:sz w:val="24"/>
          <w:szCs w:val="24"/>
        </w:rPr>
        <w:t>Закон за опазване на околната среда;</w:t>
      </w:r>
    </w:p>
    <w:p w14:paraId="4FF32D3B" w14:textId="77777777" w:rsidR="000A16C8" w:rsidRPr="000A16C8" w:rsidRDefault="000A16C8" w:rsidP="00B57AFB">
      <w:pPr>
        <w:numPr>
          <w:ilvl w:val="0"/>
          <w:numId w:val="24"/>
        </w:numPr>
        <w:tabs>
          <w:tab w:val="clear" w:pos="1440"/>
          <w:tab w:val="num" w:pos="990"/>
        </w:tabs>
        <w:spacing w:after="0" w:line="240" w:lineRule="auto"/>
        <w:ind w:left="0" w:firstLine="660"/>
        <w:jc w:val="both"/>
        <w:rPr>
          <w:rFonts w:ascii="Times New Roman" w:hAnsi="Times New Roman" w:cs="Times New Roman"/>
          <w:sz w:val="24"/>
          <w:szCs w:val="24"/>
        </w:rPr>
      </w:pPr>
      <w:r w:rsidRPr="000A16C8">
        <w:rPr>
          <w:rFonts w:ascii="Times New Roman" w:hAnsi="Times New Roman" w:cs="Times New Roman"/>
          <w:sz w:val="24"/>
          <w:szCs w:val="24"/>
        </w:rPr>
        <w:t>Правила за търговия с електрическа енергия.</w:t>
      </w:r>
    </w:p>
    <w:p w14:paraId="3F1B1271" w14:textId="77777777" w:rsidR="000A16C8" w:rsidRPr="000A16C8" w:rsidRDefault="000A16C8" w:rsidP="00B57AFB">
      <w:pPr>
        <w:spacing w:line="240" w:lineRule="auto"/>
        <w:ind w:left="720"/>
        <w:jc w:val="both"/>
        <w:rPr>
          <w:rFonts w:ascii="Times New Roman" w:hAnsi="Times New Roman" w:cs="Times New Roman"/>
          <w:sz w:val="24"/>
          <w:szCs w:val="24"/>
        </w:rPr>
      </w:pPr>
    </w:p>
    <w:p w14:paraId="0C9F4302" w14:textId="77777777" w:rsidR="000A16C8" w:rsidRPr="000A16C8" w:rsidRDefault="000A16C8" w:rsidP="00B57AFB">
      <w:pPr>
        <w:spacing w:line="240" w:lineRule="auto"/>
        <w:ind w:firstLine="709"/>
        <w:jc w:val="both"/>
        <w:rPr>
          <w:rFonts w:ascii="Times New Roman" w:hAnsi="Times New Roman" w:cs="Times New Roman"/>
          <w:sz w:val="24"/>
          <w:szCs w:val="24"/>
        </w:rPr>
      </w:pPr>
      <w:r w:rsidRPr="000A16C8">
        <w:rPr>
          <w:rFonts w:ascii="Times New Roman" w:hAnsi="Times New Roman" w:cs="Times New Roman"/>
          <w:sz w:val="24"/>
          <w:szCs w:val="24"/>
        </w:rPr>
        <w:t>Като ключова производствена мощност „ТЕЦ Марица изток 2“ ЕАД е пряко засегната от новите изисквания на Енергийния съюз, свързани с увеличаване на дела на чистата енергия, повишаване на конкурентоспособността на възобновяемата енергия и не на последно място предстоящото обединение на енергийните пазари.</w:t>
      </w:r>
    </w:p>
    <w:p w14:paraId="54DA61EB" w14:textId="77777777" w:rsidR="000A16C8" w:rsidRPr="000A16C8" w:rsidRDefault="000A16C8" w:rsidP="00B57AFB">
      <w:pPr>
        <w:spacing w:line="240" w:lineRule="auto"/>
        <w:ind w:firstLine="709"/>
        <w:jc w:val="both"/>
        <w:rPr>
          <w:rFonts w:ascii="Times New Roman" w:hAnsi="Times New Roman" w:cs="Times New Roman"/>
          <w:color w:val="000000" w:themeColor="text1"/>
          <w:sz w:val="24"/>
          <w:szCs w:val="24"/>
        </w:rPr>
      </w:pPr>
      <w:r w:rsidRPr="000A16C8">
        <w:rPr>
          <w:rFonts w:ascii="Times New Roman" w:hAnsi="Times New Roman" w:cs="Times New Roman"/>
          <w:color w:val="000000" w:themeColor="text1"/>
          <w:sz w:val="24"/>
          <w:szCs w:val="24"/>
        </w:rPr>
        <w:t>Екологичната законова рамка при експлоатацията на Големи горивни инсталации (ГГИ), с номинална входяща топлинна мощност от 50 MW или повече, каквато е Горивната инсталация на „ТЕЦ Марица изток 2“ ЕАД, е определена в следните Европейски документи:</w:t>
      </w:r>
    </w:p>
    <w:p w14:paraId="58EB4511" w14:textId="77777777" w:rsidR="000A16C8" w:rsidRPr="000A16C8" w:rsidRDefault="000A16C8" w:rsidP="003D51C0">
      <w:pPr>
        <w:pStyle w:val="ListParagraph"/>
        <w:numPr>
          <w:ilvl w:val="0"/>
          <w:numId w:val="26"/>
        </w:numPr>
        <w:tabs>
          <w:tab w:val="left" w:pos="1134"/>
        </w:tabs>
        <w:spacing w:after="0" w:line="240" w:lineRule="auto"/>
        <w:ind w:left="0" w:firstLine="709"/>
        <w:contextualSpacing w:val="0"/>
        <w:jc w:val="both"/>
        <w:rPr>
          <w:rFonts w:ascii="Times New Roman" w:hAnsi="Times New Roman" w:cs="Times New Roman"/>
          <w:color w:val="000000" w:themeColor="text1"/>
          <w:sz w:val="24"/>
          <w:szCs w:val="24"/>
        </w:rPr>
      </w:pPr>
      <w:bookmarkStart w:id="4" w:name="_Hlk534868413"/>
      <w:r w:rsidRPr="000A16C8">
        <w:rPr>
          <w:rFonts w:ascii="Times New Roman" w:hAnsi="Times New Roman" w:cs="Times New Roman"/>
          <w:color w:val="000000" w:themeColor="text1"/>
          <w:sz w:val="24"/>
          <w:szCs w:val="24"/>
        </w:rPr>
        <w:t>Директива 2010/75/ЕС на Европейския парламент и на Съвета от 24 ноември 2010 г. относно емисиите от промишлеността (комплексно предотвратяване и контрол на замърсяването)</w:t>
      </w:r>
      <w:bookmarkEnd w:id="4"/>
      <w:r w:rsidRPr="000A16C8">
        <w:rPr>
          <w:rFonts w:ascii="Times New Roman" w:hAnsi="Times New Roman" w:cs="Times New Roman"/>
          <w:color w:val="000000" w:themeColor="text1"/>
          <w:sz w:val="24"/>
          <w:szCs w:val="24"/>
        </w:rPr>
        <w:t>.</w:t>
      </w:r>
    </w:p>
    <w:p w14:paraId="54C58F11" w14:textId="77777777" w:rsidR="000A16C8" w:rsidRPr="000A16C8" w:rsidRDefault="000A16C8">
      <w:pPr>
        <w:pStyle w:val="ListParagraph"/>
        <w:numPr>
          <w:ilvl w:val="0"/>
          <w:numId w:val="26"/>
        </w:numPr>
        <w:tabs>
          <w:tab w:val="left" w:pos="1134"/>
        </w:tabs>
        <w:spacing w:after="0" w:line="240" w:lineRule="auto"/>
        <w:ind w:left="0" w:firstLine="709"/>
        <w:contextualSpacing w:val="0"/>
        <w:jc w:val="both"/>
        <w:rPr>
          <w:rFonts w:ascii="Times New Roman" w:hAnsi="Times New Roman" w:cs="Times New Roman"/>
          <w:color w:val="000000" w:themeColor="text1"/>
          <w:sz w:val="24"/>
          <w:szCs w:val="24"/>
        </w:rPr>
      </w:pPr>
      <w:bookmarkStart w:id="5" w:name="_Hlk534868440"/>
      <w:r w:rsidRPr="000A16C8">
        <w:rPr>
          <w:rFonts w:ascii="Times New Roman" w:eastAsia="Arial" w:hAnsi="Times New Roman" w:cs="Times New Roman"/>
          <w:bCs/>
          <w:color w:val="000000" w:themeColor="text1"/>
          <w:sz w:val="24"/>
          <w:szCs w:val="24"/>
        </w:rPr>
        <w:t xml:space="preserve">Решение за изпълнение (ЕС) 2017/1442 на Комисията от 31 юли 2017 година за формулиране на заключения за най-добри налични техники (НДНТ) за големи горивни инсталации съгласно Директива 2010/75/ЕС на Европейския парламент и на Съвета </w:t>
      </w:r>
    </w:p>
    <w:bookmarkEnd w:id="5"/>
    <w:p w14:paraId="3A0E5C9D" w14:textId="77777777" w:rsidR="000A16C8" w:rsidRPr="000A16C8" w:rsidRDefault="000A16C8" w:rsidP="00B57AFB">
      <w:pPr>
        <w:tabs>
          <w:tab w:val="left" w:pos="720"/>
        </w:tabs>
        <w:spacing w:line="240" w:lineRule="auto"/>
        <w:jc w:val="both"/>
        <w:rPr>
          <w:rFonts w:ascii="Times New Roman" w:hAnsi="Times New Roman" w:cs="Times New Roman"/>
          <w:color w:val="000000" w:themeColor="text1"/>
          <w:sz w:val="24"/>
          <w:szCs w:val="24"/>
        </w:rPr>
      </w:pPr>
      <w:r w:rsidRPr="000A16C8">
        <w:rPr>
          <w:rFonts w:ascii="Times New Roman" w:eastAsia="Arial" w:hAnsi="Times New Roman" w:cs="Times New Roman"/>
          <w:bCs/>
          <w:color w:val="000000" w:themeColor="text1"/>
          <w:sz w:val="24"/>
          <w:szCs w:val="24"/>
        </w:rPr>
        <w:tab/>
        <w:t xml:space="preserve">С </w:t>
      </w:r>
      <w:r w:rsidRPr="000A16C8">
        <w:rPr>
          <w:rFonts w:ascii="Times New Roman" w:hAnsi="Times New Roman" w:cs="Times New Roman"/>
          <w:color w:val="000000" w:themeColor="text1"/>
          <w:sz w:val="24"/>
          <w:szCs w:val="24"/>
        </w:rPr>
        <w:t>референтния документ за най-добри налични техники за ГГИ (</w:t>
      </w:r>
      <w:r w:rsidRPr="000A16C8">
        <w:rPr>
          <w:rFonts w:ascii="Times New Roman" w:hAnsi="Times New Roman" w:cs="Times New Roman"/>
          <w:color w:val="000000" w:themeColor="text1"/>
          <w:sz w:val="24"/>
          <w:szCs w:val="24"/>
          <w:lang w:val="en-US"/>
        </w:rPr>
        <w:t>LCP</w:t>
      </w:r>
      <w:r w:rsidRPr="000A16C8">
        <w:rPr>
          <w:rFonts w:ascii="Times New Roman" w:hAnsi="Times New Roman" w:cs="Times New Roman"/>
          <w:color w:val="000000" w:themeColor="text1"/>
          <w:sz w:val="24"/>
          <w:szCs w:val="24"/>
        </w:rPr>
        <w:t xml:space="preserve">) публикуван на 17.08.2017 г. се </w:t>
      </w:r>
      <w:r w:rsidRPr="000A16C8">
        <w:rPr>
          <w:rFonts w:ascii="Times New Roman" w:eastAsia="Arial" w:hAnsi="Times New Roman" w:cs="Times New Roman"/>
          <w:bCs/>
          <w:color w:val="000000" w:themeColor="text1"/>
          <w:sz w:val="24"/>
          <w:szCs w:val="24"/>
        </w:rPr>
        <w:t xml:space="preserve">въвеждат </w:t>
      </w:r>
      <w:r w:rsidRPr="000A16C8">
        <w:rPr>
          <w:rFonts w:ascii="Times New Roman" w:hAnsi="Times New Roman" w:cs="Times New Roman"/>
          <w:color w:val="000000" w:themeColor="text1"/>
          <w:sz w:val="24"/>
          <w:szCs w:val="24"/>
        </w:rPr>
        <w:t xml:space="preserve">нови по-строги норми за допустими емисии емитирани в атмосферния въздух от ГГИ, ползващи като основно гориво въглища и конкретно по </w:t>
      </w:r>
      <w:r w:rsidRPr="000A16C8">
        <w:rPr>
          <w:rFonts w:ascii="Times New Roman" w:hAnsi="Times New Roman" w:cs="Times New Roman"/>
          <w:color w:val="000000" w:themeColor="text1"/>
          <w:sz w:val="24"/>
          <w:szCs w:val="24"/>
        </w:rPr>
        <w:lastRenderedPageBreak/>
        <w:t>отношение на емисиите на азотни оксиди (</w:t>
      </w:r>
      <w:r w:rsidRPr="000A16C8">
        <w:rPr>
          <w:rFonts w:ascii="Times New Roman" w:hAnsi="Times New Roman" w:cs="Times New Roman"/>
          <w:color w:val="000000" w:themeColor="text1"/>
          <w:sz w:val="24"/>
          <w:szCs w:val="24"/>
          <w:lang w:val="en-GB"/>
        </w:rPr>
        <w:t>NOx</w:t>
      </w:r>
      <w:r w:rsidRPr="000A16C8">
        <w:rPr>
          <w:rFonts w:ascii="Times New Roman" w:hAnsi="Times New Roman" w:cs="Times New Roman"/>
          <w:color w:val="000000" w:themeColor="text1"/>
          <w:sz w:val="24"/>
          <w:szCs w:val="24"/>
        </w:rPr>
        <w:t>), серен диоксид (</w:t>
      </w:r>
      <w:r w:rsidRPr="000A16C8">
        <w:rPr>
          <w:rFonts w:ascii="Times New Roman" w:hAnsi="Times New Roman" w:cs="Times New Roman"/>
          <w:color w:val="000000" w:themeColor="text1"/>
          <w:sz w:val="24"/>
          <w:szCs w:val="24"/>
          <w:lang w:val="en-US"/>
        </w:rPr>
        <w:t>SO</w:t>
      </w:r>
      <w:r w:rsidRPr="000A16C8">
        <w:rPr>
          <w:rFonts w:ascii="Times New Roman" w:hAnsi="Times New Roman" w:cs="Times New Roman"/>
          <w:color w:val="000000" w:themeColor="text1"/>
          <w:sz w:val="24"/>
          <w:szCs w:val="24"/>
          <w:vertAlign w:val="subscript"/>
        </w:rPr>
        <w:t>2</w:t>
      </w:r>
      <w:r w:rsidRPr="000A16C8">
        <w:rPr>
          <w:rFonts w:ascii="Times New Roman" w:hAnsi="Times New Roman" w:cs="Times New Roman"/>
          <w:color w:val="000000" w:themeColor="text1"/>
          <w:sz w:val="24"/>
          <w:szCs w:val="24"/>
        </w:rPr>
        <w:t>), живак и финни прахови частици (РМ).</w:t>
      </w:r>
    </w:p>
    <w:p w14:paraId="527BE172" w14:textId="36BCC677" w:rsidR="000A16C8" w:rsidRDefault="000A16C8" w:rsidP="00B57AFB">
      <w:pPr>
        <w:tabs>
          <w:tab w:val="left" w:pos="720"/>
        </w:tabs>
        <w:spacing w:line="240" w:lineRule="auto"/>
        <w:jc w:val="both"/>
        <w:rPr>
          <w:rFonts w:ascii="Times New Roman" w:eastAsia="Arial" w:hAnsi="Times New Roman" w:cs="Times New Roman"/>
          <w:bCs/>
          <w:color w:val="000000" w:themeColor="text1"/>
          <w:sz w:val="24"/>
          <w:szCs w:val="24"/>
        </w:rPr>
      </w:pPr>
      <w:r w:rsidRPr="000A16C8">
        <w:rPr>
          <w:rFonts w:ascii="Times New Roman" w:hAnsi="Times New Roman" w:cs="Times New Roman"/>
          <w:color w:val="000000" w:themeColor="text1"/>
          <w:sz w:val="24"/>
          <w:szCs w:val="24"/>
        </w:rPr>
        <w:tab/>
      </w:r>
      <w:r w:rsidRPr="000A16C8">
        <w:rPr>
          <w:rFonts w:ascii="Times New Roman" w:eastAsia="Arial" w:hAnsi="Times New Roman" w:cs="Times New Roman"/>
          <w:bCs/>
          <w:color w:val="000000" w:themeColor="text1"/>
          <w:sz w:val="24"/>
          <w:szCs w:val="24"/>
        </w:rPr>
        <w:t xml:space="preserve">Декарбонизацията на енергийния сектор е свързана с промени в неговата структура, които ще засегнат пряко дейността на въглищните централи в т.ч. и на „ТЕЦ Марица изток 2“ ЕАД. </w:t>
      </w:r>
      <w:r>
        <w:rPr>
          <w:rFonts w:ascii="Times New Roman" w:eastAsia="Arial" w:hAnsi="Times New Roman" w:cs="Times New Roman"/>
          <w:bCs/>
          <w:color w:val="000000" w:themeColor="text1"/>
          <w:sz w:val="24"/>
          <w:szCs w:val="24"/>
        </w:rPr>
        <w:t>П</w:t>
      </w:r>
      <w:r w:rsidRPr="000A16C8">
        <w:rPr>
          <w:rFonts w:ascii="Times New Roman" w:eastAsia="Arial" w:hAnsi="Times New Roman" w:cs="Times New Roman"/>
          <w:bCs/>
          <w:color w:val="000000" w:themeColor="text1"/>
          <w:sz w:val="24"/>
          <w:szCs w:val="24"/>
        </w:rPr>
        <w:t xml:space="preserve">ървата стъпка е свързана с пълното либерализиране на производството и търговията на „едро“ с електрическа енергия, чрез отпадане на функциите на обществения доставчик.  </w:t>
      </w:r>
    </w:p>
    <w:p w14:paraId="2C453F28" w14:textId="195A4BE7" w:rsidR="009A4E7A" w:rsidRDefault="009A4E7A" w:rsidP="00B57AFB">
      <w:pPr>
        <w:spacing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Измененията</w:t>
      </w:r>
      <w:r w:rsidR="000A16C8" w:rsidRPr="000A16C8">
        <w:rPr>
          <w:rFonts w:ascii="Times New Roman" w:hAnsi="Times New Roman" w:cs="Times New Roman"/>
          <w:sz w:val="24"/>
          <w:szCs w:val="24"/>
        </w:rPr>
        <w:t xml:space="preserve"> в Закона за енергетиката, обнародвани с ДВ бр. 96 от 2023 г., </w:t>
      </w:r>
      <w:r w:rsidR="00325FD2">
        <w:rPr>
          <w:rFonts w:ascii="Times New Roman" w:hAnsi="Times New Roman" w:cs="Times New Roman"/>
          <w:sz w:val="24"/>
          <w:szCs w:val="24"/>
        </w:rPr>
        <w:t>предви</w:t>
      </w:r>
      <w:r>
        <w:rPr>
          <w:rFonts w:ascii="Times New Roman" w:hAnsi="Times New Roman" w:cs="Times New Roman"/>
          <w:sz w:val="24"/>
          <w:szCs w:val="24"/>
        </w:rPr>
        <w:t>ждаха</w:t>
      </w:r>
      <w:r w:rsidR="00325FD2">
        <w:rPr>
          <w:rFonts w:ascii="Times New Roman" w:hAnsi="Times New Roman" w:cs="Times New Roman"/>
          <w:sz w:val="24"/>
          <w:szCs w:val="24"/>
        </w:rPr>
        <w:t xml:space="preserve"> да се промени  действащия </w:t>
      </w:r>
      <w:r w:rsidR="000A16C8" w:rsidRPr="000A16C8">
        <w:rPr>
          <w:rFonts w:ascii="Times New Roman" w:hAnsi="Times New Roman" w:cs="Times New Roman"/>
          <w:sz w:val="24"/>
          <w:szCs w:val="24"/>
        </w:rPr>
        <w:t xml:space="preserve"> модел на електроенергийния пазар у нас, като отнемат функцията на „Обществения доставчик“ за единствен </w:t>
      </w:r>
      <w:r w:rsidR="00FA5CCF">
        <w:rPr>
          <w:rFonts w:ascii="Times New Roman" w:hAnsi="Times New Roman" w:cs="Times New Roman"/>
          <w:sz w:val="24"/>
          <w:szCs w:val="24"/>
        </w:rPr>
        <w:t>купувач</w:t>
      </w:r>
      <w:r w:rsidR="000A16C8" w:rsidRPr="000A16C8">
        <w:rPr>
          <w:rFonts w:ascii="Times New Roman" w:hAnsi="Times New Roman" w:cs="Times New Roman"/>
          <w:sz w:val="24"/>
          <w:szCs w:val="24"/>
        </w:rPr>
        <w:t xml:space="preserve"> на енергия </w:t>
      </w:r>
      <w:r w:rsidR="00FA5CCF">
        <w:rPr>
          <w:rFonts w:ascii="Times New Roman" w:hAnsi="Times New Roman" w:cs="Times New Roman"/>
          <w:sz w:val="24"/>
          <w:szCs w:val="24"/>
        </w:rPr>
        <w:t>з</w:t>
      </w:r>
      <w:r w:rsidR="000A16C8" w:rsidRPr="000A16C8">
        <w:rPr>
          <w:rFonts w:ascii="Times New Roman" w:hAnsi="Times New Roman" w:cs="Times New Roman"/>
          <w:sz w:val="24"/>
          <w:szCs w:val="24"/>
        </w:rPr>
        <w:t xml:space="preserve">а </w:t>
      </w:r>
      <w:r w:rsidR="00FA5CCF">
        <w:rPr>
          <w:rFonts w:ascii="Times New Roman" w:hAnsi="Times New Roman" w:cs="Times New Roman"/>
          <w:sz w:val="24"/>
          <w:szCs w:val="24"/>
        </w:rPr>
        <w:t xml:space="preserve">клиентите </w:t>
      </w:r>
      <w:r w:rsidR="000A16C8" w:rsidRPr="000A16C8">
        <w:rPr>
          <w:rFonts w:ascii="Times New Roman" w:hAnsi="Times New Roman" w:cs="Times New Roman"/>
          <w:sz w:val="24"/>
          <w:szCs w:val="24"/>
        </w:rPr>
        <w:t xml:space="preserve">на регулирания пазар. Този пазарен модел, действа у нас в продължение на </w:t>
      </w:r>
      <w:r w:rsidR="00745AB4">
        <w:rPr>
          <w:rFonts w:ascii="Times New Roman" w:hAnsi="Times New Roman" w:cs="Times New Roman"/>
          <w:sz w:val="24"/>
          <w:szCs w:val="24"/>
        </w:rPr>
        <w:t xml:space="preserve">над </w:t>
      </w:r>
      <w:r w:rsidR="000A16C8" w:rsidRPr="000A16C8">
        <w:rPr>
          <w:rFonts w:ascii="Times New Roman" w:hAnsi="Times New Roman" w:cs="Times New Roman"/>
          <w:sz w:val="24"/>
          <w:szCs w:val="24"/>
        </w:rPr>
        <w:t xml:space="preserve">20 години (от 2003 г.) и е допълван многократно през годините, в зависимост от степента на готовност за либерализация на енергийните доставки. Новият </w:t>
      </w:r>
      <w:r>
        <w:rPr>
          <w:rFonts w:ascii="Times New Roman" w:hAnsi="Times New Roman" w:cs="Times New Roman"/>
          <w:sz w:val="24"/>
          <w:szCs w:val="24"/>
        </w:rPr>
        <w:t xml:space="preserve">пазарен модел </w:t>
      </w:r>
      <w:r w:rsidR="000A16C8" w:rsidRPr="000A16C8">
        <w:rPr>
          <w:rFonts w:ascii="Times New Roman" w:hAnsi="Times New Roman" w:cs="Times New Roman"/>
          <w:sz w:val="24"/>
          <w:szCs w:val="24"/>
        </w:rPr>
        <w:t>на енергийния пазар у нас се очаква</w:t>
      </w:r>
      <w:r w:rsidR="00745AB4">
        <w:rPr>
          <w:rFonts w:ascii="Times New Roman" w:hAnsi="Times New Roman" w:cs="Times New Roman"/>
          <w:sz w:val="24"/>
          <w:szCs w:val="24"/>
        </w:rPr>
        <w:t>ше</w:t>
      </w:r>
      <w:r w:rsidR="000A16C8" w:rsidRPr="000A16C8">
        <w:rPr>
          <w:rFonts w:ascii="Times New Roman" w:hAnsi="Times New Roman" w:cs="Times New Roman"/>
          <w:sz w:val="24"/>
          <w:szCs w:val="24"/>
        </w:rPr>
        <w:t xml:space="preserve"> да </w:t>
      </w:r>
      <w:r w:rsidR="00FA5CCF">
        <w:rPr>
          <w:rFonts w:ascii="Times New Roman" w:hAnsi="Times New Roman" w:cs="Times New Roman"/>
          <w:sz w:val="24"/>
          <w:szCs w:val="24"/>
        </w:rPr>
        <w:t>стартира</w:t>
      </w:r>
      <w:r w:rsidR="00745AB4" w:rsidRPr="000A16C8">
        <w:rPr>
          <w:rFonts w:ascii="Times New Roman" w:hAnsi="Times New Roman" w:cs="Times New Roman"/>
          <w:sz w:val="24"/>
          <w:szCs w:val="24"/>
        </w:rPr>
        <w:t xml:space="preserve"> </w:t>
      </w:r>
      <w:r w:rsidR="000A16C8" w:rsidRPr="000A16C8">
        <w:rPr>
          <w:rFonts w:ascii="Times New Roman" w:hAnsi="Times New Roman" w:cs="Times New Roman"/>
          <w:sz w:val="24"/>
          <w:szCs w:val="24"/>
        </w:rPr>
        <w:t xml:space="preserve">от 1 юли 2024 г., </w:t>
      </w:r>
      <w:r>
        <w:rPr>
          <w:rFonts w:ascii="Times New Roman" w:hAnsi="Times New Roman" w:cs="Times New Roman"/>
          <w:sz w:val="24"/>
          <w:szCs w:val="24"/>
        </w:rPr>
        <w:t>но след извършена оценка на степента на го</w:t>
      </w:r>
      <w:r w:rsidR="0090300F">
        <w:rPr>
          <w:rFonts w:ascii="Times New Roman" w:hAnsi="Times New Roman" w:cs="Times New Roman"/>
          <w:sz w:val="24"/>
          <w:szCs w:val="24"/>
        </w:rPr>
        <w:t>т</w:t>
      </w:r>
      <w:r>
        <w:rPr>
          <w:rFonts w:ascii="Times New Roman" w:hAnsi="Times New Roman" w:cs="Times New Roman"/>
          <w:sz w:val="24"/>
          <w:szCs w:val="24"/>
        </w:rPr>
        <w:t>овност на енергийния сектор, тази стъпка е отложена с 12 месеца – до 01.07.2025 г.</w:t>
      </w:r>
      <w:r w:rsidR="00CB28E7">
        <w:rPr>
          <w:rFonts w:ascii="Times New Roman" w:hAnsi="Times New Roman" w:cs="Times New Roman"/>
          <w:sz w:val="24"/>
          <w:szCs w:val="24"/>
        </w:rPr>
        <w:t xml:space="preserve"> Към датата на изготвяне на заявлението, все още липсва яснота относно приложимия механизъм за децентрализация на енергийните доставки</w:t>
      </w:r>
      <w:r w:rsidR="00CB28E7" w:rsidRPr="00CB28E7">
        <w:rPr>
          <w:rFonts w:ascii="Times New Roman" w:hAnsi="Times New Roman" w:cs="Times New Roman"/>
          <w:sz w:val="24"/>
          <w:szCs w:val="24"/>
        </w:rPr>
        <w:t xml:space="preserve"> </w:t>
      </w:r>
      <w:r w:rsidR="00CB28E7">
        <w:rPr>
          <w:rFonts w:ascii="Times New Roman" w:hAnsi="Times New Roman" w:cs="Times New Roman"/>
          <w:sz w:val="24"/>
          <w:szCs w:val="24"/>
        </w:rPr>
        <w:t>за регулирания пазар и степента на готовност на енергийните дружества да изпълнят изискванията, предвидени в ЗЕ.</w:t>
      </w:r>
    </w:p>
    <w:p w14:paraId="4038289F" w14:textId="388BCC10" w:rsidR="00A72BD0" w:rsidRPr="00CA2EC8" w:rsidRDefault="007D7D01" w:rsidP="00B57AFB">
      <w:pPr>
        <w:pStyle w:val="ListParagraph"/>
        <w:numPr>
          <w:ilvl w:val="0"/>
          <w:numId w:val="2"/>
        </w:numPr>
        <w:spacing w:line="240" w:lineRule="auto"/>
        <w:jc w:val="both"/>
        <w:rPr>
          <w:rFonts w:ascii="Times New Roman" w:hAnsi="Times New Roman" w:cs="Times New Roman"/>
          <w:b/>
          <w:sz w:val="24"/>
          <w:szCs w:val="24"/>
        </w:rPr>
      </w:pPr>
      <w:r>
        <w:rPr>
          <w:rFonts w:ascii="Times New Roman" w:hAnsi="Times New Roman" w:cs="Times New Roman"/>
          <w:b/>
          <w:sz w:val="24"/>
          <w:szCs w:val="24"/>
        </w:rPr>
        <w:t>Текущо състояние на електроенергийния пазар</w:t>
      </w:r>
    </w:p>
    <w:p w14:paraId="18D94F11" w14:textId="77777777" w:rsidR="007D7D01" w:rsidRPr="004A18B2" w:rsidRDefault="007D7D01" w:rsidP="00B57AFB">
      <w:pPr>
        <w:spacing w:line="240" w:lineRule="auto"/>
        <w:ind w:firstLine="360"/>
        <w:jc w:val="both"/>
        <w:outlineLvl w:val="1"/>
        <w:rPr>
          <w:rFonts w:ascii="Times New Roman" w:eastAsia="Times New Roman" w:hAnsi="Times New Roman" w:cs="Times New Roman"/>
          <w:sz w:val="24"/>
          <w:szCs w:val="24"/>
          <w:lang w:eastAsia="bg-BG"/>
        </w:rPr>
      </w:pPr>
      <w:r w:rsidRPr="004A18B2">
        <w:rPr>
          <w:rFonts w:ascii="Times New Roman" w:eastAsia="Times New Roman" w:hAnsi="Times New Roman" w:cs="Times New Roman"/>
          <w:sz w:val="24"/>
          <w:szCs w:val="24"/>
          <w:lang w:eastAsia="bg-BG"/>
        </w:rPr>
        <w:t xml:space="preserve">Като основен пазарен участник, който съблюдава правилата заложени в директивите на Европейския съюз, „ТЕЦ Марица изток 2“ ЕАД следва принципите на лоялна конкуренция, прозрачност и недискриминация при организиране на процеса при продажба на електрическа енергия. В тази връзка, от 2009 г. в дружеството е създадено специализирано звено „Енергиен пазар”, което отговаря за дейности свързани с продажбата на електрическа енергия на свободния пазар. Дейността на Звено „Енергиен пазар” е насочена към поддържане на стабилно пазарно присъствие на дружеството и осигуряване на максимален финансов резултат при минимален риск. </w:t>
      </w:r>
    </w:p>
    <w:p w14:paraId="63BB0D8D" w14:textId="77777777" w:rsidR="007D7D01" w:rsidRPr="004A18B2" w:rsidRDefault="007D7D01" w:rsidP="00B57AFB">
      <w:pPr>
        <w:spacing w:line="240" w:lineRule="auto"/>
        <w:ind w:firstLine="360"/>
        <w:jc w:val="both"/>
        <w:outlineLvl w:val="1"/>
        <w:rPr>
          <w:rFonts w:ascii="Times New Roman" w:eastAsia="Times New Roman" w:hAnsi="Times New Roman" w:cs="Times New Roman"/>
          <w:sz w:val="24"/>
          <w:szCs w:val="24"/>
          <w:lang w:eastAsia="bg-BG"/>
        </w:rPr>
      </w:pPr>
      <w:r w:rsidRPr="004A18B2">
        <w:rPr>
          <w:rFonts w:ascii="Times New Roman" w:eastAsia="Times New Roman" w:hAnsi="Times New Roman" w:cs="Times New Roman"/>
          <w:sz w:val="24"/>
          <w:szCs w:val="24"/>
          <w:lang w:eastAsia="bg-BG"/>
        </w:rPr>
        <w:t xml:space="preserve">От м. януари 2016 г. централата е един от основните доставчици на електрическа енергия на борсовия пазар, организиран от „БНЕБ“ ЕАД, на който започна ефективна работа с платформата за доставки „Ден напред“. Развитието на борсовия пазар към днешна дата дава възможност дружеството да участва на всички пазарни платформи, в т.ч. двустранни договори и интрадей. </w:t>
      </w:r>
    </w:p>
    <w:p w14:paraId="1A03B3EA" w14:textId="77777777" w:rsidR="007D7D01" w:rsidRPr="00EA7605" w:rsidRDefault="007D7D01" w:rsidP="003D51C0">
      <w:pPr>
        <w:pStyle w:val="NormalWeb"/>
        <w:ind w:firstLine="708"/>
        <w:jc w:val="both"/>
      </w:pPr>
      <w:r>
        <w:t>В периода 2021–2023 г. българският енергиен пазар претърпя значителни промени, отразяващи се върху производствените програми на енергийните компании</w:t>
      </w:r>
      <w:r>
        <w:rPr>
          <w:lang w:val="en-US"/>
        </w:rPr>
        <w:t>,</w:t>
      </w:r>
      <w:r>
        <w:t xml:space="preserve"> в т.ч. и на „ТЕЦ Марица изток 2“ ЕАД. Ключовите фактори, които повлияха съществено върху търсенето и предлагането на електрическа енергия, респективно доведоха до значително изменение на пазарните цени са:</w:t>
      </w:r>
    </w:p>
    <w:p w14:paraId="1B19DBBF" w14:textId="7B2BFC08" w:rsidR="007D7D01" w:rsidRDefault="007D7D01" w:rsidP="003D51C0">
      <w:pPr>
        <w:pStyle w:val="NormalWeb"/>
        <w:numPr>
          <w:ilvl w:val="0"/>
          <w:numId w:val="28"/>
        </w:numPr>
        <w:jc w:val="both"/>
      </w:pPr>
      <w:r>
        <w:rPr>
          <w:rStyle w:val="Strong"/>
        </w:rPr>
        <w:t>Въвеждане на пазарен сегмент "Двустранни договори"</w:t>
      </w:r>
    </w:p>
    <w:p w14:paraId="4A0FE9A8" w14:textId="0FD8E611" w:rsidR="007D7D01" w:rsidRDefault="007D7D01" w:rsidP="003D51C0">
      <w:pPr>
        <w:pStyle w:val="NormalWeb"/>
        <w:ind w:firstLine="708"/>
        <w:jc w:val="both"/>
      </w:pPr>
      <w:r>
        <w:t>През 20</w:t>
      </w:r>
      <w:r w:rsidR="002F4727">
        <w:t>16</w:t>
      </w:r>
      <w:r>
        <w:t xml:space="preserve"> г. Българската независима енергийна борса (БНЕБ) въведе сегмента "Двустранни договори", позволяващ на участниците да сключват сделки директно </w:t>
      </w:r>
      <w:r>
        <w:lastRenderedPageBreak/>
        <w:t>помежду си. Това доведе до по-голяма гъвкавост и възможности за дългосрочно планиране на производството и потреблението на електроенергия.</w:t>
      </w:r>
    </w:p>
    <w:p w14:paraId="04555035" w14:textId="5CB374EF" w:rsidR="007D7D01" w:rsidRDefault="007D7D01">
      <w:pPr>
        <w:pStyle w:val="NormalWeb"/>
        <w:numPr>
          <w:ilvl w:val="0"/>
          <w:numId w:val="28"/>
        </w:numPr>
        <w:jc w:val="both"/>
      </w:pPr>
      <w:r>
        <w:rPr>
          <w:rStyle w:val="Strong"/>
        </w:rPr>
        <w:t>Въздействие на геополитически фактори</w:t>
      </w:r>
    </w:p>
    <w:p w14:paraId="0D2FF84D" w14:textId="2ED5A227" w:rsidR="007D7D01" w:rsidRDefault="007D7D01">
      <w:pPr>
        <w:pStyle w:val="NormalWeb"/>
        <w:ind w:firstLine="708"/>
        <w:jc w:val="both"/>
      </w:pPr>
      <w:r>
        <w:t xml:space="preserve">Продължаващия военен конфликт в Украйна оказва пряко въздействие върху сигурността на доставките на енергия в Югоизточна Европа. Недостигът на енергия в региона е сериозна предпоставка за </w:t>
      </w:r>
      <w:r w:rsidR="00760DC5">
        <w:t>повишаване на цените на енергийните борси, което от своя страна е сериозно предизвикателство пред конкурентоспособността и развитието на икономиката.</w:t>
      </w:r>
    </w:p>
    <w:p w14:paraId="46C528DC" w14:textId="13AD0D04" w:rsidR="00760DC5" w:rsidRDefault="00760DC5">
      <w:pPr>
        <w:pStyle w:val="NormalWeb"/>
        <w:numPr>
          <w:ilvl w:val="0"/>
          <w:numId w:val="28"/>
        </w:numPr>
        <w:jc w:val="both"/>
      </w:pPr>
      <w:r>
        <w:rPr>
          <w:rStyle w:val="Strong"/>
        </w:rPr>
        <w:t>Интеграция с регионалните пазари</w:t>
      </w:r>
    </w:p>
    <w:p w14:paraId="641456D3" w14:textId="10BBCE58" w:rsidR="0082117C" w:rsidRPr="00554192" w:rsidRDefault="00760DC5">
      <w:pPr>
        <w:pStyle w:val="NormalWeb"/>
        <w:ind w:firstLine="708"/>
        <w:jc w:val="both"/>
      </w:pPr>
      <w:r>
        <w:t>България предприе стъпки към интеграция с регионалните енергийни пазари, включително участие в инициативи за обединение на пазарите "Ден напред" и "В рамките на деня" с съседни страни. Тази интеграция доведе до по-голяма ликвидност и стабилност на пазара, но също така изискваше адаптация от страна на местните участници към новите условия.</w:t>
      </w:r>
      <w:r w:rsidR="0082117C">
        <w:t xml:space="preserve"> Към днешна дата, страната ни е </w:t>
      </w:r>
      <w:r w:rsidR="0082117C" w:rsidRPr="00554192">
        <w:t xml:space="preserve">активен участник в </w:t>
      </w:r>
      <w:r w:rsidR="0082117C">
        <w:t xml:space="preserve">тези </w:t>
      </w:r>
      <w:r w:rsidR="0082117C" w:rsidRPr="00554192">
        <w:t>европейските пазарни обединения</w:t>
      </w:r>
      <w:r w:rsidR="0082117C">
        <w:t>, като това</w:t>
      </w:r>
      <w:r w:rsidR="0082117C" w:rsidRPr="00554192">
        <w:t xml:space="preserve"> допринася за:</w:t>
      </w:r>
    </w:p>
    <w:p w14:paraId="7B53C5D9" w14:textId="77777777" w:rsidR="0082117C" w:rsidRPr="002A388D" w:rsidRDefault="0082117C" w:rsidP="00B57AFB">
      <w:pPr>
        <w:pStyle w:val="ListParagraph"/>
        <w:numPr>
          <w:ilvl w:val="0"/>
          <w:numId w:val="32"/>
        </w:numPr>
        <w:spacing w:line="240" w:lineRule="auto"/>
        <w:jc w:val="both"/>
        <w:rPr>
          <w:rFonts w:ascii="Times New Roman" w:hAnsi="Times New Roman" w:cs="Times New Roman"/>
          <w:sz w:val="24"/>
          <w:szCs w:val="24"/>
        </w:rPr>
      </w:pPr>
      <w:r w:rsidRPr="002A388D">
        <w:rPr>
          <w:rFonts w:ascii="Times New Roman" w:hAnsi="Times New Roman" w:cs="Times New Roman"/>
          <w:sz w:val="24"/>
          <w:szCs w:val="24"/>
        </w:rPr>
        <w:t>Интеграция: Хармонизация на цените със съседни страни и улесняване на трансграничната търговия.</w:t>
      </w:r>
    </w:p>
    <w:p w14:paraId="57DA16EF" w14:textId="77777777" w:rsidR="0082117C" w:rsidRPr="002A388D" w:rsidRDefault="0082117C" w:rsidP="00B57AFB">
      <w:pPr>
        <w:pStyle w:val="ListParagraph"/>
        <w:numPr>
          <w:ilvl w:val="0"/>
          <w:numId w:val="32"/>
        </w:numPr>
        <w:spacing w:line="240" w:lineRule="auto"/>
        <w:jc w:val="both"/>
        <w:rPr>
          <w:rFonts w:ascii="Times New Roman" w:hAnsi="Times New Roman" w:cs="Times New Roman"/>
          <w:sz w:val="24"/>
          <w:szCs w:val="24"/>
        </w:rPr>
      </w:pPr>
      <w:r w:rsidRPr="002A388D">
        <w:rPr>
          <w:rFonts w:ascii="Times New Roman" w:hAnsi="Times New Roman" w:cs="Times New Roman"/>
          <w:sz w:val="24"/>
          <w:szCs w:val="24"/>
        </w:rPr>
        <w:t>Ефективност: Намаляване на разходите за балансиране чрез достъп до по-голям пазарен пул от ресурси.</w:t>
      </w:r>
    </w:p>
    <w:p w14:paraId="64AEA776" w14:textId="77777777" w:rsidR="0082117C" w:rsidRDefault="0082117C" w:rsidP="00B57AFB">
      <w:pPr>
        <w:pStyle w:val="ListParagraph"/>
        <w:numPr>
          <w:ilvl w:val="0"/>
          <w:numId w:val="32"/>
        </w:numPr>
        <w:spacing w:line="240" w:lineRule="auto"/>
        <w:jc w:val="both"/>
        <w:rPr>
          <w:rFonts w:ascii="Times New Roman" w:hAnsi="Times New Roman" w:cs="Times New Roman"/>
          <w:sz w:val="24"/>
          <w:szCs w:val="24"/>
        </w:rPr>
      </w:pPr>
      <w:r w:rsidRPr="002A388D">
        <w:rPr>
          <w:rFonts w:ascii="Times New Roman" w:hAnsi="Times New Roman" w:cs="Times New Roman"/>
          <w:sz w:val="24"/>
          <w:szCs w:val="24"/>
        </w:rPr>
        <w:t>Конкурентоспособност: По-добра интеграция позволява на България да бъде конкурентоспособен участник в регионалните пазари.</w:t>
      </w:r>
    </w:p>
    <w:p w14:paraId="14784399" w14:textId="4677C406" w:rsidR="00760DC5" w:rsidRDefault="00760DC5" w:rsidP="003D51C0">
      <w:pPr>
        <w:pStyle w:val="NormalWeb"/>
        <w:ind w:firstLine="708"/>
        <w:jc w:val="both"/>
      </w:pPr>
      <w:r>
        <w:t>Тези фактори, в комбинация, създадоха динамична среда, в която енергийните компании трябваше да бъдат гъвкави и адаптивни, за да отговорят на предизвикателствата и да се възползват от възможностите, предоставени от променящите се пазарни условия.</w:t>
      </w:r>
      <w:r w:rsidR="00CE0278">
        <w:t xml:space="preserve"> На следващата графика е преставена динамиката на средната цена за базов товар, на пазарния сегмент „Ден напред“.</w:t>
      </w:r>
      <w:r w:rsidR="00CE0278">
        <w:rPr>
          <w:rStyle w:val="FootnoteReference"/>
        </w:rPr>
        <w:footnoteReference w:id="1"/>
      </w:r>
    </w:p>
    <w:p w14:paraId="7D933C2B" w14:textId="32BAEC94" w:rsidR="00760DC5" w:rsidRDefault="00CE0278" w:rsidP="003D51C0">
      <w:pPr>
        <w:pStyle w:val="NormalWeb"/>
        <w:ind w:firstLine="708"/>
        <w:jc w:val="both"/>
      </w:pPr>
      <w:r>
        <w:rPr>
          <w:noProof/>
        </w:rPr>
        <w:lastRenderedPageBreak/>
        <w:drawing>
          <wp:inline distT="0" distB="0" distL="0" distR="0" wp14:anchorId="4812CACC" wp14:editId="7F9BBD7E">
            <wp:extent cx="4572000" cy="2743200"/>
            <wp:effectExtent l="0" t="0" r="0" b="0"/>
            <wp:docPr id="4" name="Chart 4">
              <a:extLst xmlns:a="http://schemas.openxmlformats.org/drawingml/2006/main">
                <a:ext uri="{FF2B5EF4-FFF2-40B4-BE49-F238E27FC236}">
                  <a16:creationId xmlns:a16="http://schemas.microsoft.com/office/drawing/2014/main" id="{29F608F9-98A2-4B4A-8642-B3F266E89E8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576326B" w14:textId="77777777" w:rsidR="00F527E0" w:rsidRDefault="00485564" w:rsidP="003D51C0">
      <w:pPr>
        <w:pStyle w:val="NormalWeb"/>
        <w:ind w:firstLine="708"/>
        <w:jc w:val="both"/>
        <w:rPr>
          <w:noProof/>
        </w:rPr>
      </w:pPr>
      <w:r w:rsidRPr="009333C6">
        <w:rPr>
          <w:noProof/>
        </w:rPr>
        <w:t xml:space="preserve">Понижението на пазарните цени на енергията през 2023 г. </w:t>
      </w:r>
      <w:r>
        <w:rPr>
          <w:noProof/>
        </w:rPr>
        <w:t xml:space="preserve">и през 2024 г. </w:t>
      </w:r>
      <w:r w:rsidRPr="009333C6">
        <w:rPr>
          <w:noProof/>
        </w:rPr>
        <w:t xml:space="preserve">оказват пряко влияние върху обема на производство и продажби в „ТЕЦ Марица изток 2“ЕАД. Променя се и съотношението между приходи от свободен и регулиран пазар. Видно от графиката по-горе, средната цена  на енергията за базов товар за </w:t>
      </w:r>
      <w:r>
        <w:rPr>
          <w:noProof/>
        </w:rPr>
        <w:t xml:space="preserve">2023 г. </w:t>
      </w:r>
      <w:r w:rsidRPr="009333C6">
        <w:rPr>
          <w:noProof/>
        </w:rPr>
        <w:t>е в размер на 2</w:t>
      </w:r>
      <w:r w:rsidR="00F527E0">
        <w:rPr>
          <w:noProof/>
        </w:rPr>
        <w:t>03</w:t>
      </w:r>
      <w:r w:rsidRPr="009333C6">
        <w:rPr>
          <w:noProof/>
        </w:rPr>
        <w:t>,</w:t>
      </w:r>
      <w:r w:rsidR="00F527E0">
        <w:rPr>
          <w:noProof/>
        </w:rPr>
        <w:t>1</w:t>
      </w:r>
      <w:r w:rsidRPr="009333C6">
        <w:rPr>
          <w:noProof/>
        </w:rPr>
        <w:t xml:space="preserve"> лв./МВтч, а </w:t>
      </w:r>
      <w:r w:rsidR="00F527E0">
        <w:rPr>
          <w:noProof/>
        </w:rPr>
        <w:t xml:space="preserve">през 2024 г. </w:t>
      </w:r>
      <w:r w:rsidRPr="009333C6">
        <w:rPr>
          <w:noProof/>
        </w:rPr>
        <w:t xml:space="preserve"> намалява до </w:t>
      </w:r>
      <w:r w:rsidR="00F527E0">
        <w:rPr>
          <w:noProof/>
        </w:rPr>
        <w:t>200</w:t>
      </w:r>
      <w:r w:rsidRPr="009333C6">
        <w:rPr>
          <w:noProof/>
        </w:rPr>
        <w:t>,</w:t>
      </w:r>
      <w:r w:rsidR="00F527E0">
        <w:rPr>
          <w:noProof/>
        </w:rPr>
        <w:t>58</w:t>
      </w:r>
      <w:r w:rsidRPr="009333C6">
        <w:rPr>
          <w:noProof/>
        </w:rPr>
        <w:t xml:space="preserve"> лв./МВтч. </w:t>
      </w:r>
    </w:p>
    <w:p w14:paraId="1F405C7A" w14:textId="0A539871" w:rsidR="009333C6" w:rsidRDefault="00CE0278" w:rsidP="003D51C0">
      <w:pPr>
        <w:pStyle w:val="NormalWeb"/>
        <w:ind w:firstLine="708"/>
        <w:jc w:val="both"/>
      </w:pPr>
      <w:r w:rsidRPr="00CE0278">
        <w:t xml:space="preserve">Средно претеглената цена на енергията през 2024 г. </w:t>
      </w:r>
      <w:r w:rsidR="00FE53B0">
        <w:t>за</w:t>
      </w:r>
      <w:r w:rsidRPr="00CE0278">
        <w:t xml:space="preserve"> пазарен сегмент „Двустранни договори“ </w:t>
      </w:r>
      <w:r w:rsidR="00F527E0">
        <w:t xml:space="preserve"> към БНЕБ ЕАД </w:t>
      </w:r>
      <w:r w:rsidRPr="00CE0278">
        <w:t>е в размер на 166,32 лв./МВтч</w:t>
      </w:r>
      <w:r w:rsidR="00F6612B">
        <w:t xml:space="preserve"> и намалява с 17,3% спрямо предходната година. Тези стойности не са в състояние на покрият дори преките производствени разходи на "ТЕЦ Марица изток</w:t>
      </w:r>
      <w:r w:rsidR="00F352E0">
        <w:t xml:space="preserve"> 2</w:t>
      </w:r>
      <w:r w:rsidR="00F6612B">
        <w:t xml:space="preserve">" ЕАД, а именно: въглища, консумативи, други променливи разходи и разходи за емисии, които по отчетни данни за 2024 г. възлизат на </w:t>
      </w:r>
      <w:r w:rsidR="00F90F8D">
        <w:t>……………..</w:t>
      </w:r>
      <w:r w:rsidR="00F6612B">
        <w:t>./</w:t>
      </w:r>
      <w:proofErr w:type="spellStart"/>
      <w:r w:rsidR="00F6612B">
        <w:t>МВтч</w:t>
      </w:r>
      <w:proofErr w:type="spellEnd"/>
      <w:r w:rsidR="00F6612B">
        <w:t>.</w:t>
      </w:r>
    </w:p>
    <w:p w14:paraId="2542B856" w14:textId="3A531FA1" w:rsidR="00574D2E" w:rsidRPr="00574D2E" w:rsidRDefault="00574D2E" w:rsidP="00B57AFB">
      <w:pPr>
        <w:pStyle w:val="ListParagraph"/>
        <w:numPr>
          <w:ilvl w:val="0"/>
          <w:numId w:val="28"/>
        </w:numPr>
        <w:spacing w:line="240" w:lineRule="auto"/>
        <w:jc w:val="both"/>
        <w:rPr>
          <w:rFonts w:ascii="Times New Roman" w:hAnsi="Times New Roman" w:cs="Times New Roman"/>
          <w:b/>
          <w:bCs/>
          <w:sz w:val="24"/>
          <w:szCs w:val="24"/>
        </w:rPr>
      </w:pPr>
      <w:r w:rsidRPr="00574D2E">
        <w:rPr>
          <w:rFonts w:ascii="Times New Roman" w:hAnsi="Times New Roman" w:cs="Times New Roman"/>
          <w:b/>
          <w:bCs/>
          <w:sz w:val="24"/>
          <w:szCs w:val="24"/>
        </w:rPr>
        <w:t xml:space="preserve">Структура на </w:t>
      </w:r>
      <w:r>
        <w:rPr>
          <w:rFonts w:ascii="Times New Roman" w:hAnsi="Times New Roman" w:cs="Times New Roman"/>
          <w:b/>
          <w:bCs/>
          <w:sz w:val="24"/>
          <w:szCs w:val="24"/>
        </w:rPr>
        <w:t xml:space="preserve">електро </w:t>
      </w:r>
      <w:r w:rsidRPr="00574D2E">
        <w:rPr>
          <w:rFonts w:ascii="Times New Roman" w:hAnsi="Times New Roman" w:cs="Times New Roman"/>
          <w:b/>
          <w:bCs/>
          <w:sz w:val="24"/>
          <w:szCs w:val="24"/>
        </w:rPr>
        <w:t>производството</w:t>
      </w:r>
      <w:r>
        <w:rPr>
          <w:rFonts w:ascii="Times New Roman" w:hAnsi="Times New Roman" w:cs="Times New Roman"/>
          <w:b/>
          <w:bCs/>
          <w:sz w:val="24"/>
          <w:szCs w:val="24"/>
        </w:rPr>
        <w:t xml:space="preserve"> и влияние на сезонните фактори.</w:t>
      </w:r>
    </w:p>
    <w:p w14:paraId="0BA68EB7" w14:textId="3A6782B8" w:rsidR="00574D2E" w:rsidRDefault="00574D2E" w:rsidP="00B57AFB">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Страната ни разполага с разнообразен микс от генериращи мощности, като в последните няколко години се наблюдава сериозен ръст на електроенергията произвеждана от много на брой фотоволтаични централи, които се отличават с генериране на непостоянна енергия, която създава сериозни предизвикателства пред управлението на електроенергийната ни система. В тази връзка, планирането и изграждането на системи за съхранение (батерии) ще позволи по-ефективното производство и управление на слънчевата енергия, респективно и колебанията в пазарните цени на енергията ще бъдат минимизирани.</w:t>
      </w:r>
    </w:p>
    <w:p w14:paraId="0FBDC34C" w14:textId="77777777" w:rsidR="00574D2E" w:rsidRDefault="00574D2E" w:rsidP="00B57AFB">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Към настоящия момент, ключово значение за стабилността на електроенергийната ни система имат базовите и регулиращи мощности, които имат способността да предоставят постоянни количества електрическа енергия през цялото денонощие (АЕЦ), а в случай на необходимост кондензационните ТЕЦ могат лесно да повишат или понижат мощността и по този начин да балансират производството и потреблението.</w:t>
      </w:r>
    </w:p>
    <w:p w14:paraId="7DF9F2A7" w14:textId="77777777" w:rsidR="00574D2E" w:rsidRDefault="00574D2E" w:rsidP="00B57AFB">
      <w:pPr>
        <w:spacing w:line="240" w:lineRule="auto"/>
        <w:ind w:firstLine="708"/>
        <w:jc w:val="both"/>
        <w:rPr>
          <w:rFonts w:ascii="Times New Roman" w:eastAsia="Times New Roman" w:hAnsi="Times New Roman" w:cs="Times New Roman"/>
          <w:sz w:val="24"/>
          <w:szCs w:val="24"/>
          <w:lang w:eastAsia="bg-BG"/>
        </w:rPr>
      </w:pPr>
      <w:r>
        <w:rPr>
          <w:rFonts w:ascii="Times New Roman" w:hAnsi="Times New Roman" w:cs="Times New Roman"/>
          <w:sz w:val="24"/>
          <w:szCs w:val="24"/>
        </w:rPr>
        <w:t xml:space="preserve">В различните периоди от годината, АЕЦ Козлодуй генерира между 37% и 42% от общото електропроизводство, като по този начин той осигурява основното натоварване </w:t>
      </w:r>
      <w:r>
        <w:rPr>
          <w:rFonts w:ascii="Times New Roman" w:hAnsi="Times New Roman" w:cs="Times New Roman"/>
          <w:sz w:val="24"/>
          <w:szCs w:val="24"/>
        </w:rPr>
        <w:lastRenderedPageBreak/>
        <w:t xml:space="preserve">и стабилност на мрежата. От друга страна, кондензационните ТЕЦ заемат между 25% и 30% от микса, като основното им преимущество е </w:t>
      </w:r>
      <w:r w:rsidRPr="00BB40F9">
        <w:rPr>
          <w:rFonts w:ascii="Times New Roman" w:eastAsia="Times New Roman" w:hAnsi="Times New Roman" w:cs="Times New Roman"/>
          <w:sz w:val="24"/>
          <w:szCs w:val="24"/>
          <w:lang w:eastAsia="bg-BG"/>
        </w:rPr>
        <w:t>гъвкавост и способност да покриват пиковото потребление</w:t>
      </w:r>
      <w:r>
        <w:rPr>
          <w:rFonts w:ascii="Times New Roman" w:eastAsia="Times New Roman" w:hAnsi="Times New Roman" w:cs="Times New Roman"/>
          <w:sz w:val="24"/>
          <w:szCs w:val="24"/>
          <w:lang w:eastAsia="bg-BG"/>
        </w:rPr>
        <w:t>. Най-голямата кондензационна електроцентрала е „ТЕЦ Марица изток 2“ ЕАД, която е ключова за електроенергийната ни система и е основен и важен фактор за гарантиране на сигурността не енергийните доставки в страната и региона.</w:t>
      </w:r>
    </w:p>
    <w:p w14:paraId="770B7E45" w14:textId="78DEEBC6" w:rsidR="0013018C" w:rsidRPr="00CE0278" w:rsidRDefault="00574D2E" w:rsidP="003D51C0">
      <w:pPr>
        <w:pStyle w:val="NormalWeb"/>
        <w:ind w:firstLine="708"/>
        <w:jc w:val="both"/>
      </w:pPr>
      <w:r>
        <w:t>Колебанията в структурата на електропроизводствения микс у нас са породени от различни сезонни и външни фактори, като регионалния излишък или недостиг на електроенергия, води до значителни колебания в цените на енергийните борси.</w:t>
      </w:r>
    </w:p>
    <w:p w14:paraId="762ED536" w14:textId="4CAEE930" w:rsidR="00574D2E" w:rsidRDefault="009333C6" w:rsidP="00B57AFB">
      <w:pPr>
        <w:tabs>
          <w:tab w:val="left" w:pos="330"/>
        </w:tabs>
        <w:spacing w:line="240" w:lineRule="auto"/>
        <w:jc w:val="both"/>
        <w:rPr>
          <w:rFonts w:ascii="Times New Roman" w:hAnsi="Times New Roman" w:cs="Times New Roman"/>
          <w:sz w:val="24"/>
          <w:szCs w:val="24"/>
        </w:rPr>
      </w:pPr>
      <w:r w:rsidRPr="009A6785">
        <w:rPr>
          <w:b/>
        </w:rPr>
        <w:tab/>
      </w:r>
      <w:r w:rsidRPr="00574D2E">
        <w:rPr>
          <w:rFonts w:ascii="Times New Roman" w:hAnsi="Times New Roman" w:cs="Times New Roman"/>
          <w:bCs/>
          <w:sz w:val="24"/>
          <w:szCs w:val="24"/>
        </w:rPr>
        <w:tab/>
      </w:r>
      <w:r w:rsidR="00FD730E">
        <w:rPr>
          <w:rFonts w:ascii="Times New Roman" w:hAnsi="Times New Roman" w:cs="Times New Roman"/>
          <w:bCs/>
          <w:sz w:val="24"/>
          <w:szCs w:val="24"/>
        </w:rPr>
        <w:t>През 2024 г. „</w:t>
      </w:r>
      <w:r w:rsidR="00574D2E">
        <w:rPr>
          <w:rFonts w:ascii="Times New Roman" w:hAnsi="Times New Roman" w:cs="Times New Roman"/>
          <w:sz w:val="24"/>
          <w:szCs w:val="24"/>
        </w:rPr>
        <w:t xml:space="preserve">ТЕЦ Марица изток 2“ ЕАД  </w:t>
      </w:r>
      <w:r w:rsidR="00FD730E">
        <w:rPr>
          <w:rFonts w:ascii="Times New Roman" w:hAnsi="Times New Roman" w:cs="Times New Roman"/>
          <w:sz w:val="24"/>
          <w:szCs w:val="24"/>
        </w:rPr>
        <w:t xml:space="preserve">реализира </w:t>
      </w:r>
      <w:r w:rsidR="00510800" w:rsidRPr="00574D2E">
        <w:rPr>
          <w:rFonts w:ascii="Times New Roman" w:hAnsi="Times New Roman" w:cs="Times New Roman"/>
          <w:bCs/>
          <w:sz w:val="24"/>
          <w:szCs w:val="24"/>
        </w:rPr>
        <w:t xml:space="preserve"> общи</w:t>
      </w:r>
      <w:r w:rsidR="00510800">
        <w:rPr>
          <w:rFonts w:ascii="Times New Roman" w:hAnsi="Times New Roman" w:cs="Times New Roman"/>
          <w:sz w:val="24"/>
          <w:szCs w:val="24"/>
        </w:rPr>
        <w:t xml:space="preserve"> приходи от продажба на електрическа енергия възлиза</w:t>
      </w:r>
      <w:r w:rsidR="00FD730E">
        <w:rPr>
          <w:rFonts w:ascii="Times New Roman" w:hAnsi="Times New Roman" w:cs="Times New Roman"/>
          <w:sz w:val="24"/>
          <w:szCs w:val="24"/>
        </w:rPr>
        <w:t>щи</w:t>
      </w:r>
      <w:r w:rsidR="00510800">
        <w:rPr>
          <w:rFonts w:ascii="Times New Roman" w:hAnsi="Times New Roman" w:cs="Times New Roman"/>
          <w:sz w:val="24"/>
          <w:szCs w:val="24"/>
        </w:rPr>
        <w:t xml:space="preserve"> на </w:t>
      </w:r>
      <w:r w:rsidR="00F90F8D">
        <w:rPr>
          <w:rFonts w:ascii="Times New Roman" w:hAnsi="Times New Roman" w:cs="Times New Roman"/>
          <w:sz w:val="24"/>
          <w:szCs w:val="24"/>
        </w:rPr>
        <w:t>……………..</w:t>
      </w:r>
      <w:r w:rsidR="00510800">
        <w:rPr>
          <w:rFonts w:ascii="Times New Roman" w:hAnsi="Times New Roman" w:cs="Times New Roman"/>
          <w:sz w:val="24"/>
          <w:szCs w:val="24"/>
        </w:rPr>
        <w:t>., като основна</w:t>
      </w:r>
      <w:r w:rsidR="00FD730E">
        <w:rPr>
          <w:rFonts w:ascii="Times New Roman" w:hAnsi="Times New Roman" w:cs="Times New Roman"/>
          <w:sz w:val="24"/>
          <w:szCs w:val="24"/>
        </w:rPr>
        <w:t>та</w:t>
      </w:r>
      <w:r w:rsidR="00510800">
        <w:rPr>
          <w:rFonts w:ascii="Times New Roman" w:hAnsi="Times New Roman" w:cs="Times New Roman"/>
          <w:sz w:val="24"/>
          <w:szCs w:val="24"/>
        </w:rPr>
        <w:t xml:space="preserve"> част са реализирани на регулирания пазар </w:t>
      </w:r>
      <w:r w:rsidR="00F90F8D">
        <w:rPr>
          <w:rFonts w:ascii="Times New Roman" w:hAnsi="Times New Roman" w:cs="Times New Roman"/>
          <w:sz w:val="24"/>
          <w:szCs w:val="24"/>
        </w:rPr>
        <w:t>…………………..</w:t>
      </w:r>
      <w:r w:rsidR="00510800">
        <w:rPr>
          <w:rFonts w:ascii="Times New Roman" w:hAnsi="Times New Roman" w:cs="Times New Roman"/>
          <w:sz w:val="24"/>
          <w:szCs w:val="24"/>
        </w:rPr>
        <w:t xml:space="preserve"> </w:t>
      </w:r>
      <w:proofErr w:type="spellStart"/>
      <w:r w:rsidR="00510800">
        <w:rPr>
          <w:rFonts w:ascii="Times New Roman" w:hAnsi="Times New Roman" w:cs="Times New Roman"/>
          <w:sz w:val="24"/>
          <w:szCs w:val="24"/>
        </w:rPr>
        <w:t>хил.лв</w:t>
      </w:r>
      <w:proofErr w:type="spellEnd"/>
      <w:r w:rsidR="00510800">
        <w:rPr>
          <w:rFonts w:ascii="Times New Roman" w:hAnsi="Times New Roman" w:cs="Times New Roman"/>
          <w:sz w:val="24"/>
          <w:szCs w:val="24"/>
        </w:rPr>
        <w:t xml:space="preserve">. </w:t>
      </w:r>
    </w:p>
    <w:p w14:paraId="18586419" w14:textId="2AC6BD88" w:rsidR="00FD730E" w:rsidRDefault="00574D2E" w:rsidP="00B57AFB">
      <w:pPr>
        <w:spacing w:line="240" w:lineRule="auto"/>
        <w:jc w:val="both"/>
        <w:outlineLvl w:val="1"/>
        <w:rPr>
          <w:rFonts w:ascii="Times New Roman" w:hAnsi="Times New Roman" w:cs="Times New Roman"/>
          <w:noProof/>
          <w:sz w:val="24"/>
          <w:szCs w:val="24"/>
        </w:rPr>
      </w:pPr>
      <w:r>
        <w:rPr>
          <w:rFonts w:ascii="Times New Roman" w:hAnsi="Times New Roman" w:cs="Times New Roman"/>
          <w:sz w:val="24"/>
          <w:szCs w:val="24"/>
        </w:rPr>
        <w:tab/>
      </w:r>
      <w:r w:rsidR="00FD730E" w:rsidRPr="009333C6">
        <w:rPr>
          <w:rFonts w:ascii="Times New Roman" w:hAnsi="Times New Roman" w:cs="Times New Roman"/>
          <w:noProof/>
          <w:sz w:val="24"/>
          <w:szCs w:val="24"/>
        </w:rPr>
        <w:t xml:space="preserve">Делът на енергията, предоставяна на обществения доставчик е </w:t>
      </w:r>
      <w:r w:rsidR="00FD730E">
        <w:rPr>
          <w:rFonts w:ascii="Times New Roman" w:hAnsi="Times New Roman" w:cs="Times New Roman"/>
          <w:noProof/>
          <w:sz w:val="24"/>
          <w:szCs w:val="24"/>
        </w:rPr>
        <w:t>79,04</w:t>
      </w:r>
      <w:r w:rsidR="00FD730E" w:rsidRPr="009333C6">
        <w:rPr>
          <w:rFonts w:ascii="Times New Roman" w:hAnsi="Times New Roman" w:cs="Times New Roman"/>
          <w:noProof/>
          <w:sz w:val="24"/>
          <w:szCs w:val="24"/>
        </w:rPr>
        <w:t xml:space="preserve">%, а останалото количество </w:t>
      </w:r>
      <w:r w:rsidR="00014A33">
        <w:rPr>
          <w:rFonts w:ascii="Times New Roman" w:hAnsi="Times New Roman" w:cs="Times New Roman"/>
          <w:noProof/>
          <w:sz w:val="24"/>
          <w:szCs w:val="24"/>
        </w:rPr>
        <w:t>включва продажбите на свободен пазар</w:t>
      </w:r>
      <w:r w:rsidR="00FD730E" w:rsidRPr="009333C6">
        <w:rPr>
          <w:rFonts w:ascii="Times New Roman" w:hAnsi="Times New Roman" w:cs="Times New Roman"/>
          <w:noProof/>
          <w:sz w:val="24"/>
          <w:szCs w:val="24"/>
        </w:rPr>
        <w:t xml:space="preserve"> разпределено между отделните пазарни сегменти „Двустранни договори“</w:t>
      </w:r>
      <w:r w:rsidR="00014A33">
        <w:rPr>
          <w:rFonts w:ascii="Times New Roman" w:hAnsi="Times New Roman" w:cs="Times New Roman"/>
          <w:noProof/>
          <w:sz w:val="24"/>
          <w:szCs w:val="24"/>
        </w:rPr>
        <w:t>,</w:t>
      </w:r>
      <w:r w:rsidR="00FD730E" w:rsidRPr="009333C6">
        <w:rPr>
          <w:rFonts w:ascii="Times New Roman" w:hAnsi="Times New Roman" w:cs="Times New Roman"/>
          <w:noProof/>
          <w:sz w:val="24"/>
          <w:szCs w:val="24"/>
        </w:rPr>
        <w:t xml:space="preserve"> „Ден напред“</w:t>
      </w:r>
      <w:r w:rsidR="00014A33">
        <w:rPr>
          <w:rFonts w:ascii="Times New Roman" w:hAnsi="Times New Roman" w:cs="Times New Roman"/>
          <w:noProof/>
          <w:sz w:val="24"/>
          <w:szCs w:val="24"/>
        </w:rPr>
        <w:t xml:space="preserve"> и „В рамките на деня“</w:t>
      </w:r>
      <w:r w:rsidR="00FD730E" w:rsidRPr="009333C6">
        <w:rPr>
          <w:rFonts w:ascii="Times New Roman" w:hAnsi="Times New Roman" w:cs="Times New Roman"/>
          <w:noProof/>
          <w:sz w:val="24"/>
          <w:szCs w:val="24"/>
        </w:rPr>
        <w:t xml:space="preserve"> – </w:t>
      </w:r>
      <w:r w:rsidR="00014A33">
        <w:rPr>
          <w:rFonts w:ascii="Times New Roman" w:hAnsi="Times New Roman" w:cs="Times New Roman"/>
          <w:noProof/>
          <w:sz w:val="24"/>
          <w:szCs w:val="24"/>
        </w:rPr>
        <w:t>17.28</w:t>
      </w:r>
      <w:r w:rsidR="00FD730E" w:rsidRPr="009333C6">
        <w:rPr>
          <w:rFonts w:ascii="Times New Roman" w:hAnsi="Times New Roman" w:cs="Times New Roman"/>
          <w:noProof/>
          <w:sz w:val="24"/>
          <w:szCs w:val="24"/>
        </w:rPr>
        <w:t xml:space="preserve">%, а за допълнителни услуги към системния оператор и продажби на балансиращия пазар </w:t>
      </w:r>
      <w:r w:rsidR="00014A33">
        <w:rPr>
          <w:rFonts w:ascii="Times New Roman" w:hAnsi="Times New Roman" w:cs="Times New Roman"/>
          <w:noProof/>
          <w:sz w:val="24"/>
          <w:szCs w:val="24"/>
        </w:rPr>
        <w:t xml:space="preserve">общо </w:t>
      </w:r>
      <w:r w:rsidR="00FD730E" w:rsidRPr="009333C6">
        <w:rPr>
          <w:rFonts w:ascii="Times New Roman" w:hAnsi="Times New Roman" w:cs="Times New Roman"/>
          <w:noProof/>
          <w:sz w:val="24"/>
          <w:szCs w:val="24"/>
        </w:rPr>
        <w:t>3</w:t>
      </w:r>
      <w:r w:rsidR="00014A33">
        <w:rPr>
          <w:rFonts w:ascii="Times New Roman" w:hAnsi="Times New Roman" w:cs="Times New Roman"/>
          <w:noProof/>
          <w:sz w:val="24"/>
          <w:szCs w:val="24"/>
        </w:rPr>
        <w:t>,68</w:t>
      </w:r>
      <w:r w:rsidR="00FD730E" w:rsidRPr="009333C6">
        <w:rPr>
          <w:rFonts w:ascii="Times New Roman" w:hAnsi="Times New Roman" w:cs="Times New Roman"/>
          <w:noProof/>
          <w:sz w:val="24"/>
          <w:szCs w:val="24"/>
        </w:rPr>
        <w:t xml:space="preserve">%. </w:t>
      </w:r>
    </w:p>
    <w:p w14:paraId="333F8772" w14:textId="21A30120" w:rsidR="003B4144" w:rsidRPr="003B4144" w:rsidRDefault="003B4144" w:rsidP="00B57AFB">
      <w:pPr>
        <w:spacing w:line="240" w:lineRule="auto"/>
        <w:ind w:firstLine="720"/>
        <w:jc w:val="both"/>
        <w:rPr>
          <w:rFonts w:ascii="Times New Roman" w:hAnsi="Times New Roman" w:cs="Times New Roman"/>
          <w:sz w:val="24"/>
          <w:szCs w:val="24"/>
        </w:rPr>
      </w:pPr>
      <w:r w:rsidRPr="003B4144">
        <w:rPr>
          <w:rFonts w:ascii="Times New Roman" w:hAnsi="Times New Roman" w:cs="Times New Roman"/>
          <w:sz w:val="24"/>
          <w:szCs w:val="24"/>
        </w:rPr>
        <w:t>Въпреки увеличения обем продажби,</w:t>
      </w:r>
      <w:r>
        <w:rPr>
          <w:rFonts w:ascii="Times New Roman" w:hAnsi="Times New Roman" w:cs="Times New Roman"/>
          <w:sz w:val="24"/>
          <w:szCs w:val="24"/>
        </w:rPr>
        <w:t xml:space="preserve"> </w:t>
      </w:r>
      <w:r w:rsidRPr="003B4144">
        <w:rPr>
          <w:rFonts w:ascii="Times New Roman" w:hAnsi="Times New Roman" w:cs="Times New Roman"/>
          <w:sz w:val="24"/>
          <w:szCs w:val="24"/>
        </w:rPr>
        <w:t>отчетените приходи са по-малко от реализираните през предходния период. Това се дължи на спада на цените на регулирания и на свободния пазар. Увеличение се отчита само при продажбите на балансиращия пазар.</w:t>
      </w:r>
    </w:p>
    <w:p w14:paraId="2561C7ED" w14:textId="77777777" w:rsidR="003B4144" w:rsidRPr="009333C6" w:rsidRDefault="003B4144" w:rsidP="00B57AFB">
      <w:pPr>
        <w:spacing w:line="240" w:lineRule="auto"/>
        <w:jc w:val="both"/>
        <w:outlineLvl w:val="1"/>
        <w:rPr>
          <w:rFonts w:ascii="Times New Roman" w:hAnsi="Times New Roman" w:cs="Times New Roman"/>
          <w:noProof/>
          <w:sz w:val="24"/>
          <w:szCs w:val="24"/>
        </w:rPr>
      </w:pPr>
    </w:p>
    <w:p w14:paraId="58CD8C0E" w14:textId="7BE8A294" w:rsidR="009333C6" w:rsidRPr="00574D2E" w:rsidRDefault="00FD730E" w:rsidP="00B57AFB">
      <w:pPr>
        <w:tabs>
          <w:tab w:val="left" w:pos="330"/>
        </w:tabs>
        <w:spacing w:line="240" w:lineRule="auto"/>
        <w:jc w:val="both"/>
        <w:rPr>
          <w:rFonts w:ascii="Times New Roman" w:hAnsi="Times New Roman" w:cs="Times New Roman"/>
          <w:sz w:val="24"/>
          <w:szCs w:val="24"/>
        </w:rPr>
      </w:pPr>
      <w:r w:rsidRPr="002C376A">
        <w:rPr>
          <w:noProof/>
        </w:rPr>
        <w:drawing>
          <wp:inline distT="0" distB="0" distL="0" distR="0" wp14:anchorId="26B21528" wp14:editId="25C1F951">
            <wp:extent cx="5760720" cy="3636645"/>
            <wp:effectExtent l="0" t="0" r="11430" b="1905"/>
            <wp:docPr id="3" name="Chart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9333C6" w:rsidRPr="009333C6">
        <w:rPr>
          <w:rFonts w:ascii="Times New Roman" w:hAnsi="Times New Roman" w:cs="Times New Roman"/>
          <w:noProof/>
          <w:sz w:val="24"/>
          <w:szCs w:val="24"/>
        </w:rPr>
        <w:t xml:space="preserve"> </w:t>
      </w:r>
    </w:p>
    <w:p w14:paraId="6082ED7E" w14:textId="50F3E1E7" w:rsidR="009333C6" w:rsidRPr="009A6785" w:rsidRDefault="009333C6" w:rsidP="00B57AFB">
      <w:pPr>
        <w:spacing w:line="240" w:lineRule="auto"/>
        <w:jc w:val="center"/>
        <w:outlineLvl w:val="1"/>
        <w:rPr>
          <w:noProof/>
        </w:rPr>
      </w:pPr>
    </w:p>
    <w:p w14:paraId="15C36152" w14:textId="71F4D2C2" w:rsidR="003B4144" w:rsidRPr="003B4144" w:rsidRDefault="003B4144" w:rsidP="00B57AFB">
      <w:pPr>
        <w:spacing w:line="240" w:lineRule="auto"/>
        <w:ind w:right="44" w:firstLine="709"/>
        <w:jc w:val="both"/>
        <w:rPr>
          <w:rFonts w:ascii="Times New Roman" w:hAnsi="Times New Roman" w:cs="Times New Roman"/>
          <w:sz w:val="24"/>
          <w:szCs w:val="24"/>
        </w:rPr>
      </w:pPr>
      <w:r w:rsidRPr="003B4144">
        <w:rPr>
          <w:rFonts w:ascii="Times New Roman" w:hAnsi="Times New Roman" w:cs="Times New Roman"/>
          <w:sz w:val="24"/>
          <w:szCs w:val="24"/>
          <w:lang w:val="ru-RU"/>
        </w:rPr>
        <w:lastRenderedPageBreak/>
        <w:t>През изминалата 2024 г. „ТЕЦ Марица изток 2“ ЕАД не беше в състояние да покрива изцяло всичките си разходи за дейността и формира отрицателен финансов резултат. За периода към 31.12.2024 г. „ТЕЦ Марица изток 2” ЕАД отчита загуба</w:t>
      </w:r>
      <w:r w:rsidRPr="003B4144">
        <w:rPr>
          <w:rFonts w:ascii="Times New Roman" w:hAnsi="Times New Roman" w:cs="Times New Roman"/>
          <w:sz w:val="24"/>
          <w:szCs w:val="24"/>
        </w:rPr>
        <w:t xml:space="preserve"> след данъци </w:t>
      </w:r>
      <w:r w:rsidRPr="003B4144">
        <w:rPr>
          <w:rFonts w:ascii="Times New Roman" w:hAnsi="Times New Roman" w:cs="Times New Roman"/>
          <w:sz w:val="24"/>
          <w:szCs w:val="24"/>
          <w:lang w:val="ru-RU"/>
        </w:rPr>
        <w:t xml:space="preserve">в размер на </w:t>
      </w:r>
      <w:r w:rsidR="00F90F8D">
        <w:rPr>
          <w:rFonts w:ascii="Times New Roman" w:hAnsi="Times New Roman" w:cs="Times New Roman"/>
          <w:sz w:val="24"/>
          <w:szCs w:val="24"/>
          <w:lang w:val="ru-RU"/>
        </w:rPr>
        <w:t>............</w:t>
      </w:r>
      <w:r w:rsidRPr="003B4144">
        <w:rPr>
          <w:rFonts w:ascii="Times New Roman" w:hAnsi="Times New Roman" w:cs="Times New Roman"/>
          <w:sz w:val="24"/>
          <w:szCs w:val="24"/>
          <w:lang w:val="ru-RU"/>
        </w:rPr>
        <w:t xml:space="preserve"> хил. лв</w:t>
      </w:r>
      <w:r w:rsidRPr="003B4144">
        <w:rPr>
          <w:rFonts w:ascii="Times New Roman" w:hAnsi="Times New Roman" w:cs="Times New Roman"/>
          <w:sz w:val="24"/>
          <w:szCs w:val="24"/>
        </w:rPr>
        <w:t xml:space="preserve">., </w:t>
      </w:r>
      <w:r w:rsidRPr="003B4144">
        <w:rPr>
          <w:rFonts w:ascii="Times New Roman" w:hAnsi="Times New Roman" w:cs="Times New Roman"/>
          <w:bCs/>
          <w:sz w:val="24"/>
          <w:szCs w:val="24"/>
        </w:rPr>
        <w:t xml:space="preserve">което е намаление с </w:t>
      </w:r>
      <w:r w:rsidR="00F90F8D">
        <w:rPr>
          <w:rFonts w:ascii="Times New Roman" w:hAnsi="Times New Roman" w:cs="Times New Roman"/>
          <w:bCs/>
          <w:sz w:val="24"/>
          <w:szCs w:val="24"/>
        </w:rPr>
        <w:t>……….</w:t>
      </w:r>
      <w:r w:rsidRPr="003B4144">
        <w:rPr>
          <w:rFonts w:ascii="Times New Roman" w:hAnsi="Times New Roman" w:cs="Times New Roman"/>
          <w:bCs/>
          <w:sz w:val="24"/>
          <w:szCs w:val="24"/>
        </w:rPr>
        <w:t xml:space="preserve"> хил. лв. спрямо отчетената</w:t>
      </w:r>
      <w:r w:rsidRPr="003B4144">
        <w:rPr>
          <w:rFonts w:ascii="Times New Roman" w:hAnsi="Times New Roman" w:cs="Times New Roman"/>
          <w:bCs/>
          <w:sz w:val="24"/>
          <w:szCs w:val="24"/>
          <w:lang w:val="en-US"/>
        </w:rPr>
        <w:t xml:space="preserve"> </w:t>
      </w:r>
      <w:r w:rsidRPr="003B4144">
        <w:rPr>
          <w:rFonts w:ascii="Times New Roman" w:hAnsi="Times New Roman" w:cs="Times New Roman"/>
          <w:bCs/>
          <w:sz w:val="24"/>
          <w:szCs w:val="24"/>
        </w:rPr>
        <w:t xml:space="preserve">печалба след данъци в размер на </w:t>
      </w:r>
      <w:r w:rsidR="00F90F8D">
        <w:rPr>
          <w:rFonts w:ascii="Times New Roman" w:hAnsi="Times New Roman" w:cs="Times New Roman"/>
          <w:bCs/>
          <w:sz w:val="24"/>
          <w:szCs w:val="24"/>
        </w:rPr>
        <w:t>…………..</w:t>
      </w:r>
      <w:r w:rsidRPr="003B4144">
        <w:rPr>
          <w:rFonts w:ascii="Times New Roman" w:hAnsi="Times New Roman" w:cs="Times New Roman"/>
          <w:bCs/>
          <w:sz w:val="24"/>
          <w:szCs w:val="24"/>
        </w:rPr>
        <w:t xml:space="preserve"> хил. лв.</w:t>
      </w:r>
      <w:r w:rsidRPr="003B4144">
        <w:rPr>
          <w:rFonts w:ascii="Times New Roman" w:hAnsi="Times New Roman" w:cs="Times New Roman"/>
          <w:bCs/>
          <w:sz w:val="24"/>
          <w:szCs w:val="24"/>
          <w:lang w:val="en-US"/>
        </w:rPr>
        <w:t xml:space="preserve"> </w:t>
      </w:r>
      <w:r w:rsidRPr="003B4144">
        <w:rPr>
          <w:rFonts w:ascii="Times New Roman" w:hAnsi="Times New Roman" w:cs="Times New Roman"/>
          <w:bCs/>
          <w:sz w:val="24"/>
          <w:szCs w:val="24"/>
        </w:rPr>
        <w:t>за съпоставимият период на предходната 2023 г.</w:t>
      </w:r>
      <w:r w:rsidRPr="003B4144">
        <w:rPr>
          <w:rFonts w:ascii="Times New Roman" w:hAnsi="Times New Roman" w:cs="Times New Roman"/>
          <w:sz w:val="24"/>
          <w:szCs w:val="24"/>
        </w:rPr>
        <w:t xml:space="preserve"> </w:t>
      </w:r>
    </w:p>
    <w:p w14:paraId="0744EBB2" w14:textId="4D395127" w:rsidR="004740E4" w:rsidRPr="004740E4" w:rsidRDefault="004740E4" w:rsidP="00B57AFB">
      <w:pPr>
        <w:spacing w:line="240" w:lineRule="auto"/>
        <w:ind w:firstLine="708"/>
        <w:jc w:val="both"/>
        <w:rPr>
          <w:rFonts w:ascii="Times New Roman" w:hAnsi="Times New Roman" w:cs="Times New Roman"/>
          <w:sz w:val="24"/>
          <w:szCs w:val="24"/>
        </w:rPr>
      </w:pPr>
      <w:r w:rsidRPr="004740E4">
        <w:rPr>
          <w:rFonts w:ascii="Times New Roman" w:hAnsi="Times New Roman" w:cs="Times New Roman"/>
          <w:sz w:val="24"/>
          <w:szCs w:val="24"/>
        </w:rPr>
        <w:t>„ТЕЦ Марица изток 2” ЕАД е активен участник и на балансиращия пазар. От 01.06.2014 г. при регулиране нагоре ЕСО ЕАД заплаща на „ТЕЦ Марица изток 2”ЕАД за електрическата енергия, която е реализирана над регистрираните нетни почасови графици от участие в първично и/или вторично регулиране и/или диспечерско нареждане в случаите на регулиране нагоре.</w:t>
      </w:r>
    </w:p>
    <w:p w14:paraId="5D23F97C" w14:textId="77777777" w:rsidR="00A72BD0" w:rsidRPr="00A72BD0" w:rsidRDefault="00A72BD0" w:rsidP="00B57AFB">
      <w:pPr>
        <w:spacing w:line="240" w:lineRule="auto"/>
        <w:ind w:firstLine="708"/>
        <w:jc w:val="both"/>
        <w:rPr>
          <w:rFonts w:ascii="Times New Roman" w:hAnsi="Times New Roman" w:cs="Times New Roman"/>
          <w:sz w:val="24"/>
          <w:szCs w:val="24"/>
        </w:rPr>
      </w:pPr>
      <w:r w:rsidRPr="00A72BD0">
        <w:rPr>
          <w:rFonts w:ascii="Times New Roman" w:hAnsi="Times New Roman" w:cs="Times New Roman"/>
          <w:sz w:val="24"/>
          <w:szCs w:val="24"/>
        </w:rPr>
        <w:t xml:space="preserve">При регулиране надолу „ТЕЦ Марица изток 2” ЕАД заплаща на ЕСО ЕАД за електрическата енергия от участие в първично и/или вторично регулиране и/или диспечерско нареждане  случаите на регулиране надолу. </w:t>
      </w:r>
    </w:p>
    <w:p w14:paraId="4826E6A8" w14:textId="7AD944CC" w:rsidR="00A72BD0" w:rsidRPr="00A72BD0" w:rsidRDefault="00A72BD0" w:rsidP="00B57AFB">
      <w:pPr>
        <w:spacing w:line="240" w:lineRule="auto"/>
        <w:ind w:firstLine="708"/>
        <w:jc w:val="both"/>
        <w:rPr>
          <w:rFonts w:ascii="Times New Roman" w:hAnsi="Times New Roman" w:cs="Times New Roman"/>
          <w:sz w:val="24"/>
          <w:szCs w:val="24"/>
        </w:rPr>
      </w:pPr>
      <w:r w:rsidRPr="00A72BD0">
        <w:rPr>
          <w:rFonts w:ascii="Times New Roman" w:hAnsi="Times New Roman" w:cs="Times New Roman"/>
          <w:sz w:val="24"/>
          <w:szCs w:val="24"/>
        </w:rPr>
        <w:t>Съгласно чл.</w:t>
      </w:r>
      <w:r w:rsidR="00DA28D4">
        <w:rPr>
          <w:rFonts w:ascii="Times New Roman" w:hAnsi="Times New Roman" w:cs="Times New Roman"/>
          <w:sz w:val="24"/>
          <w:szCs w:val="24"/>
        </w:rPr>
        <w:t xml:space="preserve"> </w:t>
      </w:r>
      <w:r w:rsidRPr="00A72BD0">
        <w:rPr>
          <w:rFonts w:ascii="Times New Roman" w:hAnsi="Times New Roman" w:cs="Times New Roman"/>
          <w:sz w:val="24"/>
          <w:szCs w:val="24"/>
        </w:rPr>
        <w:t>174 от ПТЕЕ независимият преносен оператор ЕСО ЕАД определя небалансите на „ТЕЦ Марица изток 2” ЕАД /координатор на балансиращи групи/ за всеки интервал на доставка след получаване на утвърдените измерени стойности от собствениците на средства за търговско измерване съгласно глава седма от ПТЕЕ. Независимият преносен оператор ЕСО  изготвя за всеки календарен ден за всеки координатор на балансираща група почасово дневно извлечение за сетълмент на небаланси и определя нетната стойност на дневния сетълмент.</w:t>
      </w:r>
    </w:p>
    <w:p w14:paraId="176BA85B" w14:textId="77777777" w:rsidR="00A72BD0" w:rsidRPr="00A72BD0" w:rsidRDefault="00A72BD0" w:rsidP="00B57AFB">
      <w:pPr>
        <w:spacing w:line="240" w:lineRule="auto"/>
        <w:ind w:firstLine="708"/>
        <w:jc w:val="both"/>
        <w:rPr>
          <w:rFonts w:ascii="Times New Roman" w:hAnsi="Times New Roman" w:cs="Times New Roman"/>
          <w:sz w:val="24"/>
          <w:szCs w:val="24"/>
        </w:rPr>
      </w:pPr>
      <w:r w:rsidRPr="00A72BD0">
        <w:rPr>
          <w:rFonts w:ascii="Times New Roman" w:hAnsi="Times New Roman" w:cs="Times New Roman"/>
          <w:sz w:val="24"/>
          <w:szCs w:val="24"/>
        </w:rPr>
        <w:t xml:space="preserve">Общата стойност на задълженията на координатор на балансираща група представляват за „ТЕЦ Марица изток 2” ЕАД разходи за балансираща енергия при недостиг, а общата стойност на вземанията на координатор на балансираща група представляват за „ТЕЦ Марица изток 2” ЕАД приходи за балансираща енергия при излишък. </w:t>
      </w:r>
    </w:p>
    <w:p w14:paraId="6E33D794" w14:textId="4B7FD428" w:rsidR="004740E4" w:rsidRDefault="00A72BD0" w:rsidP="00B57AFB">
      <w:pPr>
        <w:spacing w:line="240" w:lineRule="auto"/>
        <w:ind w:firstLine="708"/>
        <w:jc w:val="both"/>
        <w:rPr>
          <w:rFonts w:ascii="Times New Roman" w:hAnsi="Times New Roman" w:cs="Times New Roman"/>
          <w:sz w:val="24"/>
          <w:szCs w:val="24"/>
        </w:rPr>
      </w:pPr>
      <w:r w:rsidRPr="00A72BD0">
        <w:rPr>
          <w:rFonts w:ascii="Times New Roman" w:hAnsi="Times New Roman" w:cs="Times New Roman"/>
          <w:sz w:val="24"/>
          <w:szCs w:val="24"/>
        </w:rPr>
        <w:t>Поставена в една изключително динамична и развиваща се пазарна среда „ТЕЦ Марица изток 2” ЕАД следва динамиката и съпъ</w:t>
      </w:r>
      <w:r w:rsidR="00CD6025">
        <w:rPr>
          <w:rFonts w:ascii="Times New Roman" w:hAnsi="Times New Roman" w:cs="Times New Roman"/>
          <w:sz w:val="24"/>
          <w:szCs w:val="24"/>
        </w:rPr>
        <w:t>т</w:t>
      </w:r>
      <w:r w:rsidRPr="00A72BD0">
        <w:rPr>
          <w:rFonts w:ascii="Times New Roman" w:hAnsi="Times New Roman" w:cs="Times New Roman"/>
          <w:sz w:val="24"/>
          <w:szCs w:val="24"/>
        </w:rPr>
        <w:t>стващите пазарни промени, за да успее да реализира по най-добрия възможен начин своята продукция.</w:t>
      </w:r>
    </w:p>
    <w:p w14:paraId="267DAD3C" w14:textId="42E16846" w:rsidR="004740E4" w:rsidRDefault="004740E4" w:rsidP="00B57AFB">
      <w:pPr>
        <w:spacing w:line="240" w:lineRule="auto"/>
        <w:ind w:firstLine="708"/>
        <w:jc w:val="both"/>
        <w:rPr>
          <w:rFonts w:ascii="Times New Roman" w:hAnsi="Times New Roman" w:cs="Times New Roman"/>
          <w:bCs/>
          <w:iCs/>
          <w:sz w:val="24"/>
          <w:szCs w:val="24"/>
        </w:rPr>
      </w:pPr>
      <w:r w:rsidRPr="004740E4">
        <w:rPr>
          <w:rFonts w:ascii="Times New Roman" w:hAnsi="Times New Roman" w:cs="Times New Roman"/>
          <w:bCs/>
          <w:iCs/>
          <w:sz w:val="24"/>
          <w:szCs w:val="24"/>
        </w:rPr>
        <w:t>Публикуваните от Българската независима енергийна борса почасови, дневни и месечни доклади за търгуваните обеми и цени на отделните пазарни платформи са основен източник на данни за анализиране на тенденциите и изготвяне на индивидуални пазарни прогнози в краткосрочен или средно срочен план. Отчитането на допълнителни фактори като промените в регулаторната среда, влиянието на международните борсови котировки на квотите за емисии, степента на либерализация на цените на енергийни услуги, облекченият режим за тран</w:t>
      </w:r>
      <w:r>
        <w:rPr>
          <w:rFonts w:ascii="Times New Roman" w:hAnsi="Times New Roman" w:cs="Times New Roman"/>
          <w:bCs/>
          <w:iCs/>
          <w:sz w:val="24"/>
          <w:szCs w:val="24"/>
        </w:rPr>
        <w:t>с</w:t>
      </w:r>
      <w:r w:rsidRPr="004740E4">
        <w:rPr>
          <w:rFonts w:ascii="Times New Roman" w:hAnsi="Times New Roman" w:cs="Times New Roman"/>
          <w:bCs/>
          <w:iCs/>
          <w:sz w:val="24"/>
          <w:szCs w:val="24"/>
        </w:rPr>
        <w:t>граничен обмен на енергия със съседни пазарни зони, както и други специфични за самия производител, формират цялостната база за прогнозиране на приходите и разх</w:t>
      </w:r>
      <w:r>
        <w:rPr>
          <w:rFonts w:ascii="Times New Roman" w:hAnsi="Times New Roman" w:cs="Times New Roman"/>
          <w:bCs/>
          <w:iCs/>
          <w:sz w:val="24"/>
          <w:szCs w:val="24"/>
        </w:rPr>
        <w:t>одите за регулаторния период</w:t>
      </w:r>
      <w:r w:rsidRPr="004740E4">
        <w:rPr>
          <w:rFonts w:ascii="Times New Roman" w:hAnsi="Times New Roman" w:cs="Times New Roman"/>
          <w:bCs/>
          <w:iCs/>
          <w:sz w:val="24"/>
          <w:szCs w:val="24"/>
        </w:rPr>
        <w:t>.</w:t>
      </w:r>
    </w:p>
    <w:p w14:paraId="6B478DE1" w14:textId="14A80960" w:rsidR="005619E3" w:rsidRPr="00D11EBD" w:rsidRDefault="005619E3" w:rsidP="00B57AFB">
      <w:pPr>
        <w:spacing w:line="240" w:lineRule="auto"/>
        <w:ind w:firstLine="708"/>
        <w:jc w:val="both"/>
        <w:rPr>
          <w:rFonts w:ascii="Times New Roman" w:hAnsi="Times New Roman" w:cs="Times New Roman"/>
          <w:bCs/>
          <w:sz w:val="24"/>
          <w:szCs w:val="24"/>
        </w:rPr>
      </w:pPr>
      <w:r w:rsidRPr="00D11EBD">
        <w:rPr>
          <w:rFonts w:ascii="Times New Roman" w:hAnsi="Times New Roman" w:cs="Times New Roman"/>
          <w:bCs/>
          <w:sz w:val="24"/>
          <w:szCs w:val="24"/>
        </w:rPr>
        <w:t xml:space="preserve">В обобщение, основните фактори, които </w:t>
      </w:r>
      <w:r w:rsidR="00E07683" w:rsidRPr="00E07683">
        <w:rPr>
          <w:rFonts w:ascii="Times New Roman" w:hAnsi="Times New Roman" w:cs="Times New Roman"/>
          <w:bCs/>
          <w:sz w:val="24"/>
          <w:szCs w:val="24"/>
        </w:rPr>
        <w:t xml:space="preserve">предопределят финансовите резултати </w:t>
      </w:r>
      <w:r w:rsidR="00E07683">
        <w:rPr>
          <w:rFonts w:ascii="Times New Roman" w:hAnsi="Times New Roman" w:cs="Times New Roman"/>
          <w:bCs/>
          <w:sz w:val="24"/>
          <w:szCs w:val="24"/>
        </w:rPr>
        <w:t xml:space="preserve">на </w:t>
      </w:r>
      <w:r w:rsidRPr="00D11EBD">
        <w:rPr>
          <w:rFonts w:ascii="Times New Roman" w:hAnsi="Times New Roman" w:cs="Times New Roman"/>
          <w:bCs/>
          <w:sz w:val="24"/>
          <w:szCs w:val="24"/>
        </w:rPr>
        <w:t>„ТЕЦ Марица изток 2“ ЕАД през текущата финансо</w:t>
      </w:r>
      <w:r w:rsidR="00D11EBD">
        <w:rPr>
          <w:rFonts w:ascii="Times New Roman" w:hAnsi="Times New Roman" w:cs="Times New Roman"/>
          <w:bCs/>
          <w:sz w:val="24"/>
          <w:szCs w:val="24"/>
        </w:rPr>
        <w:t>в</w:t>
      </w:r>
      <w:r w:rsidRPr="00D11EBD">
        <w:rPr>
          <w:rFonts w:ascii="Times New Roman" w:hAnsi="Times New Roman" w:cs="Times New Roman"/>
          <w:bCs/>
          <w:sz w:val="24"/>
          <w:szCs w:val="24"/>
        </w:rPr>
        <w:t>а година са:</w:t>
      </w:r>
    </w:p>
    <w:p w14:paraId="331AD7EA" w14:textId="5568B191" w:rsidR="005619E3" w:rsidRPr="002369C4" w:rsidRDefault="005619E3" w:rsidP="003D51C0">
      <w:pPr>
        <w:pStyle w:val="ListParagraph"/>
        <w:numPr>
          <w:ilvl w:val="0"/>
          <w:numId w:val="30"/>
        </w:numPr>
        <w:spacing w:after="0" w:line="240" w:lineRule="auto"/>
        <w:jc w:val="both"/>
        <w:rPr>
          <w:rFonts w:ascii="Times New Roman" w:hAnsi="Times New Roman" w:cs="Times New Roman"/>
          <w:bCs/>
          <w:i/>
          <w:iCs/>
          <w:sz w:val="24"/>
          <w:szCs w:val="24"/>
        </w:rPr>
      </w:pPr>
      <w:r w:rsidRPr="002369C4">
        <w:rPr>
          <w:rFonts w:ascii="Times New Roman" w:hAnsi="Times New Roman" w:cs="Times New Roman"/>
          <w:bCs/>
          <w:i/>
          <w:iCs/>
          <w:sz w:val="24"/>
          <w:szCs w:val="24"/>
        </w:rPr>
        <w:t xml:space="preserve">Продължителността на усложнената политическа несигурност по отношение на енергийните доставки в югоизточна Европа </w:t>
      </w:r>
      <w:r w:rsidR="00D11EBD" w:rsidRPr="002369C4">
        <w:rPr>
          <w:rFonts w:ascii="Times New Roman" w:hAnsi="Times New Roman" w:cs="Times New Roman"/>
          <w:bCs/>
          <w:i/>
          <w:iCs/>
          <w:sz w:val="24"/>
          <w:szCs w:val="24"/>
        </w:rPr>
        <w:t xml:space="preserve">води до колебания в цените на енергия, респективно несигурност на доставките, поради което бяха предпприети мерки за създаване на условия </w:t>
      </w:r>
      <w:r w:rsidRPr="002369C4">
        <w:rPr>
          <w:rFonts w:ascii="Times New Roman" w:hAnsi="Times New Roman" w:cs="Times New Roman"/>
          <w:bCs/>
          <w:i/>
          <w:iCs/>
          <w:sz w:val="24"/>
          <w:szCs w:val="24"/>
        </w:rPr>
        <w:t xml:space="preserve">за предвидимо участие на </w:t>
      </w:r>
      <w:r w:rsidRPr="002369C4">
        <w:rPr>
          <w:rFonts w:ascii="Times New Roman" w:hAnsi="Times New Roman" w:cs="Times New Roman"/>
          <w:bCs/>
          <w:i/>
          <w:iCs/>
          <w:sz w:val="24"/>
          <w:szCs w:val="24"/>
        </w:rPr>
        <w:lastRenderedPageBreak/>
        <w:t>централата на енергийния пазар, с оглед гарантиране на сигурността на снабдяването с електрическа енергия  на относително приемлива цена.</w:t>
      </w:r>
    </w:p>
    <w:p w14:paraId="2C70EB1B" w14:textId="02F84613" w:rsidR="00E07683" w:rsidRPr="002369C4" w:rsidRDefault="00E07683" w:rsidP="003D51C0">
      <w:pPr>
        <w:pStyle w:val="ListParagraph"/>
        <w:numPr>
          <w:ilvl w:val="0"/>
          <w:numId w:val="30"/>
        </w:numPr>
        <w:spacing w:after="0" w:line="240" w:lineRule="auto"/>
        <w:jc w:val="both"/>
        <w:rPr>
          <w:rFonts w:ascii="Times New Roman" w:hAnsi="Times New Roman" w:cs="Times New Roman"/>
          <w:bCs/>
          <w:i/>
          <w:iCs/>
          <w:sz w:val="24"/>
          <w:szCs w:val="24"/>
        </w:rPr>
      </w:pPr>
      <w:r w:rsidRPr="002369C4">
        <w:rPr>
          <w:rFonts w:ascii="Times New Roman" w:hAnsi="Times New Roman" w:cs="Times New Roman"/>
          <w:i/>
          <w:sz w:val="24"/>
          <w:szCs w:val="24"/>
        </w:rPr>
        <w:t>Доставките на енергийни услуги в България и Европа са все още силно зависими от цените на изкопаемите горива, а нарастващото увеличение на възобновяемата енергия в крайното потребление, все още не може да бъде гарантирано чрез алтернативни регулиращи мощности. Поради тези причини равновесието между електропроизводството и потреблението е застрашено от сериозни дисбаланси, в случай на рязко отпадане на традиционното електропроизводство от енергийния микс.</w:t>
      </w:r>
    </w:p>
    <w:p w14:paraId="27DA0A7F" w14:textId="77777777" w:rsidR="005619E3" w:rsidRPr="002369C4" w:rsidRDefault="005619E3" w:rsidP="003D51C0">
      <w:pPr>
        <w:pStyle w:val="ListParagraph"/>
        <w:numPr>
          <w:ilvl w:val="0"/>
          <w:numId w:val="30"/>
        </w:numPr>
        <w:spacing w:after="0" w:line="240" w:lineRule="auto"/>
        <w:jc w:val="both"/>
        <w:rPr>
          <w:rFonts w:ascii="Times New Roman" w:hAnsi="Times New Roman" w:cs="Times New Roman"/>
          <w:bCs/>
          <w:i/>
          <w:iCs/>
          <w:sz w:val="24"/>
          <w:szCs w:val="24"/>
        </w:rPr>
      </w:pPr>
      <w:r w:rsidRPr="002369C4">
        <w:rPr>
          <w:rFonts w:ascii="Times New Roman" w:hAnsi="Times New Roman" w:cs="Times New Roman"/>
          <w:bCs/>
          <w:i/>
          <w:iCs/>
          <w:sz w:val="24"/>
          <w:szCs w:val="24"/>
        </w:rPr>
        <w:t xml:space="preserve">Динамичната промяна в разходите за емисии СО2 на международните пазари. </w:t>
      </w:r>
    </w:p>
    <w:p w14:paraId="4A41C8E5" w14:textId="77777777" w:rsidR="002369C4" w:rsidRPr="002369C4" w:rsidRDefault="002369C4">
      <w:pPr>
        <w:numPr>
          <w:ilvl w:val="0"/>
          <w:numId w:val="30"/>
        </w:numPr>
        <w:spacing w:after="0" w:line="240" w:lineRule="auto"/>
        <w:jc w:val="both"/>
        <w:rPr>
          <w:rFonts w:ascii="Times New Roman" w:hAnsi="Times New Roman" w:cs="Times New Roman"/>
          <w:i/>
          <w:sz w:val="24"/>
          <w:szCs w:val="24"/>
        </w:rPr>
      </w:pPr>
      <w:r w:rsidRPr="002369C4">
        <w:rPr>
          <w:rFonts w:ascii="Times New Roman" w:hAnsi="Times New Roman" w:cs="Times New Roman"/>
          <w:i/>
          <w:sz w:val="24"/>
          <w:szCs w:val="24"/>
        </w:rPr>
        <w:t>„ТЕЦ Марица изток 2“ЕАД не може да откаже предоставянето на системни услуги, поради обстоятелството, че представлява ключова стратегическа енергийна мощност, която участва пряко в управлението на електроенергийната система и чрез нея се осигурява сигурното и надеждно снабдяване с електрическа енергия. Предоставянето на допълнителни услуги на електроенергийният системен оператор не покриват и половината от себестойността на предоставяни услуги, поради съществуващи празноти в нормативната база.</w:t>
      </w:r>
    </w:p>
    <w:p w14:paraId="3C574D7C" w14:textId="77777777" w:rsidR="005619E3" w:rsidRPr="002369C4" w:rsidRDefault="005619E3">
      <w:pPr>
        <w:pStyle w:val="ListParagraph"/>
        <w:numPr>
          <w:ilvl w:val="0"/>
          <w:numId w:val="30"/>
        </w:numPr>
        <w:spacing w:after="0" w:line="240" w:lineRule="auto"/>
        <w:jc w:val="both"/>
        <w:rPr>
          <w:rFonts w:ascii="Times New Roman" w:hAnsi="Times New Roman" w:cs="Times New Roman"/>
          <w:bCs/>
          <w:i/>
          <w:iCs/>
          <w:sz w:val="24"/>
          <w:szCs w:val="24"/>
        </w:rPr>
      </w:pPr>
      <w:r w:rsidRPr="002369C4">
        <w:rPr>
          <w:rFonts w:ascii="Times New Roman" w:hAnsi="Times New Roman" w:cs="Times New Roman"/>
          <w:bCs/>
          <w:i/>
          <w:iCs/>
          <w:sz w:val="24"/>
          <w:szCs w:val="24"/>
        </w:rPr>
        <w:t>Сезонното търсене и предлагане на електрическа енергия в страната и в региона;</w:t>
      </w:r>
    </w:p>
    <w:p w14:paraId="7C446C9A" w14:textId="77777777" w:rsidR="005619E3" w:rsidRPr="002369C4" w:rsidRDefault="005619E3">
      <w:pPr>
        <w:pStyle w:val="ListParagraph"/>
        <w:numPr>
          <w:ilvl w:val="0"/>
          <w:numId w:val="30"/>
        </w:numPr>
        <w:spacing w:after="0" w:line="240" w:lineRule="auto"/>
        <w:jc w:val="both"/>
        <w:rPr>
          <w:rFonts w:ascii="Times New Roman" w:hAnsi="Times New Roman" w:cs="Times New Roman"/>
          <w:bCs/>
          <w:i/>
          <w:iCs/>
          <w:sz w:val="24"/>
          <w:szCs w:val="24"/>
        </w:rPr>
      </w:pPr>
      <w:r w:rsidRPr="002369C4">
        <w:rPr>
          <w:rFonts w:ascii="Times New Roman" w:hAnsi="Times New Roman" w:cs="Times New Roman"/>
          <w:bCs/>
          <w:i/>
          <w:iCs/>
          <w:sz w:val="24"/>
          <w:szCs w:val="24"/>
        </w:rPr>
        <w:t>Висока конкуренция между производителите на електрическа енергия.</w:t>
      </w:r>
    </w:p>
    <w:p w14:paraId="77D67157" w14:textId="77777777" w:rsidR="00F71E0B" w:rsidRPr="009B4F5C" w:rsidRDefault="00F71E0B" w:rsidP="00B57AFB">
      <w:pPr>
        <w:spacing w:line="240" w:lineRule="auto"/>
        <w:jc w:val="both"/>
        <w:rPr>
          <w:rFonts w:ascii="Times New Roman" w:hAnsi="Times New Roman" w:cs="Times New Roman"/>
          <w:sz w:val="24"/>
          <w:szCs w:val="24"/>
          <w:lang w:val="en-US"/>
        </w:rPr>
      </w:pPr>
    </w:p>
    <w:p w14:paraId="0732948E" w14:textId="7BE5E2BD" w:rsidR="00830DEF" w:rsidRPr="004F060A" w:rsidRDefault="00CA2EC8" w:rsidP="003D51C0">
      <w:pPr>
        <w:spacing w:after="120" w:line="240" w:lineRule="auto"/>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III</w:t>
      </w:r>
      <w:r w:rsidR="004F060A" w:rsidRPr="001365A2">
        <w:rPr>
          <w:rFonts w:ascii="Times New Roman" w:eastAsia="Times New Roman" w:hAnsi="Times New Roman" w:cs="Times New Roman"/>
          <w:b/>
          <w:sz w:val="24"/>
          <w:szCs w:val="24"/>
          <w:lang w:eastAsia="bg-BG"/>
        </w:rPr>
        <w:t>.</w:t>
      </w:r>
      <w:r w:rsidR="00DF661A">
        <w:rPr>
          <w:rFonts w:ascii="Times New Roman" w:eastAsia="Times New Roman" w:hAnsi="Times New Roman" w:cs="Times New Roman"/>
          <w:b/>
          <w:sz w:val="24"/>
          <w:szCs w:val="24"/>
          <w:lang w:eastAsia="bg-BG"/>
        </w:rPr>
        <w:t xml:space="preserve"> </w:t>
      </w:r>
      <w:r w:rsidR="004F060A" w:rsidRPr="001365A2">
        <w:rPr>
          <w:rFonts w:ascii="Times New Roman" w:eastAsia="Times New Roman" w:hAnsi="Times New Roman" w:cs="Times New Roman"/>
          <w:b/>
          <w:sz w:val="24"/>
          <w:szCs w:val="24"/>
          <w:lang w:eastAsia="bg-BG"/>
        </w:rPr>
        <w:t>О</w:t>
      </w:r>
      <w:r w:rsidR="00830DEF" w:rsidRPr="001365A2">
        <w:rPr>
          <w:rFonts w:ascii="Times New Roman" w:eastAsia="Times New Roman" w:hAnsi="Times New Roman" w:cs="Times New Roman"/>
          <w:b/>
          <w:sz w:val="24"/>
          <w:szCs w:val="24"/>
          <w:lang w:eastAsia="bg-BG"/>
        </w:rPr>
        <w:t>пределяне на променливи разходи, условно – постоянни разходи,</w:t>
      </w:r>
      <w:r w:rsidR="00830DEF" w:rsidRPr="004F060A">
        <w:rPr>
          <w:rFonts w:ascii="Times New Roman" w:eastAsia="Times New Roman" w:hAnsi="Times New Roman" w:cs="Times New Roman"/>
          <w:sz w:val="24"/>
          <w:szCs w:val="24"/>
          <w:lang w:eastAsia="bg-BG"/>
        </w:rPr>
        <w:t xml:space="preserve"> </w:t>
      </w:r>
      <w:r w:rsidR="00830DEF" w:rsidRPr="004F060A">
        <w:rPr>
          <w:rFonts w:ascii="Times New Roman" w:eastAsia="Times New Roman" w:hAnsi="Times New Roman" w:cs="Times New Roman"/>
          <w:b/>
          <w:sz w:val="24"/>
          <w:szCs w:val="24"/>
          <w:lang w:eastAsia="bg-BG"/>
        </w:rPr>
        <w:t>възвръщаемост и необходими годишни приходи за новия регулаторен период 01.07.202</w:t>
      </w:r>
      <w:r w:rsidR="004711B4">
        <w:rPr>
          <w:rFonts w:ascii="Times New Roman" w:eastAsia="Times New Roman" w:hAnsi="Times New Roman" w:cs="Times New Roman"/>
          <w:b/>
          <w:sz w:val="24"/>
          <w:szCs w:val="24"/>
          <w:lang w:eastAsia="bg-BG"/>
        </w:rPr>
        <w:t>5</w:t>
      </w:r>
      <w:r w:rsidR="004F060A">
        <w:rPr>
          <w:rFonts w:ascii="Times New Roman" w:eastAsia="Times New Roman" w:hAnsi="Times New Roman" w:cs="Times New Roman"/>
          <w:b/>
          <w:sz w:val="24"/>
          <w:szCs w:val="24"/>
          <w:lang w:eastAsia="bg-BG"/>
        </w:rPr>
        <w:t xml:space="preserve"> – 30.06.202</w:t>
      </w:r>
      <w:r w:rsidR="004711B4">
        <w:rPr>
          <w:rFonts w:ascii="Times New Roman" w:eastAsia="Times New Roman" w:hAnsi="Times New Roman" w:cs="Times New Roman"/>
          <w:b/>
          <w:sz w:val="24"/>
          <w:szCs w:val="24"/>
          <w:lang w:eastAsia="bg-BG"/>
        </w:rPr>
        <w:t>6</w:t>
      </w:r>
      <w:r w:rsidR="00830DEF" w:rsidRPr="004F060A">
        <w:rPr>
          <w:rFonts w:ascii="Times New Roman" w:eastAsia="Times New Roman" w:hAnsi="Times New Roman" w:cs="Times New Roman"/>
          <w:b/>
          <w:sz w:val="24"/>
          <w:szCs w:val="24"/>
          <w:lang w:eastAsia="bg-BG"/>
        </w:rPr>
        <w:t xml:space="preserve"> г.</w:t>
      </w:r>
    </w:p>
    <w:p w14:paraId="45162C5E" w14:textId="77777777" w:rsidR="00F113DA" w:rsidRPr="00830DEF" w:rsidRDefault="00F113DA" w:rsidP="003D51C0">
      <w:pPr>
        <w:pStyle w:val="ListParagraph"/>
        <w:spacing w:after="120" w:line="240" w:lineRule="auto"/>
        <w:jc w:val="both"/>
        <w:rPr>
          <w:rFonts w:ascii="Times New Roman" w:eastAsia="Times New Roman" w:hAnsi="Times New Roman" w:cs="Times New Roman"/>
          <w:b/>
          <w:sz w:val="24"/>
          <w:szCs w:val="24"/>
          <w:lang w:eastAsia="bg-BG"/>
        </w:rPr>
      </w:pPr>
    </w:p>
    <w:p w14:paraId="693C7628" w14:textId="149DD3F4" w:rsidR="00830DEF" w:rsidRPr="00A8412F" w:rsidRDefault="00830DEF" w:rsidP="003D51C0">
      <w:pPr>
        <w:pStyle w:val="ListParagraph"/>
        <w:numPr>
          <w:ilvl w:val="0"/>
          <w:numId w:val="23"/>
        </w:numPr>
        <w:spacing w:after="120" w:line="240" w:lineRule="auto"/>
        <w:jc w:val="both"/>
        <w:rPr>
          <w:rFonts w:ascii="Times New Roman" w:eastAsia="Times New Roman" w:hAnsi="Times New Roman" w:cs="Times New Roman"/>
          <w:b/>
          <w:sz w:val="24"/>
          <w:szCs w:val="24"/>
          <w:lang w:eastAsia="bg-BG"/>
        </w:rPr>
      </w:pPr>
      <w:r w:rsidRPr="00A8412F">
        <w:rPr>
          <w:rFonts w:ascii="Times New Roman" w:eastAsia="Times New Roman" w:hAnsi="Times New Roman" w:cs="Times New Roman"/>
          <w:b/>
          <w:sz w:val="24"/>
          <w:szCs w:val="24"/>
          <w:lang w:eastAsia="bg-BG"/>
        </w:rPr>
        <w:t>Обобщени технико-икономически показатели при производството на електрическа енергия</w:t>
      </w:r>
    </w:p>
    <w:p w14:paraId="399FE209" w14:textId="36BB15B1" w:rsidR="00F71E0B" w:rsidRDefault="00830DEF">
      <w:pPr>
        <w:spacing w:after="120" w:line="240" w:lineRule="auto"/>
        <w:ind w:firstLine="708"/>
        <w:jc w:val="both"/>
        <w:rPr>
          <w:rFonts w:ascii="Times New Roman" w:eastAsia="Times New Roman" w:hAnsi="Times New Roman" w:cs="Times New Roman"/>
          <w:sz w:val="24"/>
          <w:szCs w:val="24"/>
          <w:lang w:eastAsia="bg-BG"/>
        </w:rPr>
      </w:pPr>
      <w:r w:rsidRPr="00406472">
        <w:rPr>
          <w:rFonts w:ascii="Times New Roman" w:eastAsia="Times New Roman" w:hAnsi="Times New Roman" w:cs="Times New Roman"/>
          <w:sz w:val="24"/>
          <w:szCs w:val="24"/>
          <w:lang w:eastAsia="bg-BG"/>
        </w:rPr>
        <w:t>Съгласно изчисленията в приложените към заявлението справки с № от 1-5, утвърдени от комисията, необходимите променливи разходи, условно – постоянни разходи, възвръщаемост и необходими годишни приходи за новия регулаторен период 01.07.202</w:t>
      </w:r>
      <w:r w:rsidR="00D237CC" w:rsidRPr="00406472">
        <w:rPr>
          <w:rFonts w:ascii="Times New Roman" w:eastAsia="Times New Roman" w:hAnsi="Times New Roman" w:cs="Times New Roman"/>
          <w:sz w:val="24"/>
          <w:szCs w:val="24"/>
          <w:lang w:eastAsia="bg-BG"/>
        </w:rPr>
        <w:t>5</w:t>
      </w:r>
      <w:r w:rsidRPr="00406472">
        <w:rPr>
          <w:rFonts w:ascii="Times New Roman" w:eastAsia="Times New Roman" w:hAnsi="Times New Roman" w:cs="Times New Roman"/>
          <w:sz w:val="24"/>
          <w:szCs w:val="24"/>
          <w:lang w:eastAsia="bg-BG"/>
        </w:rPr>
        <w:t xml:space="preserve"> – 30.06.202</w:t>
      </w:r>
      <w:r w:rsidR="00D237CC" w:rsidRPr="00406472">
        <w:rPr>
          <w:rFonts w:ascii="Times New Roman" w:eastAsia="Times New Roman" w:hAnsi="Times New Roman" w:cs="Times New Roman"/>
          <w:sz w:val="24"/>
          <w:szCs w:val="24"/>
          <w:lang w:eastAsia="bg-BG"/>
        </w:rPr>
        <w:t>6</w:t>
      </w:r>
      <w:r w:rsidRPr="00406472">
        <w:rPr>
          <w:rFonts w:ascii="Times New Roman" w:eastAsia="Times New Roman" w:hAnsi="Times New Roman" w:cs="Times New Roman"/>
          <w:sz w:val="24"/>
          <w:szCs w:val="24"/>
          <w:lang w:eastAsia="bg-BG"/>
        </w:rPr>
        <w:t xml:space="preserve"> г. са както следва:</w:t>
      </w:r>
    </w:p>
    <w:p w14:paraId="70893FAD" w14:textId="1A1674BC" w:rsidR="0089600F" w:rsidRPr="00292EED" w:rsidRDefault="00A86DCC">
      <w:pPr>
        <w:spacing w:after="120" w:line="240" w:lineRule="auto"/>
        <w:jc w:val="both"/>
        <w:rPr>
          <w:rFonts w:ascii="Times New Roman" w:eastAsia="Times New Roman" w:hAnsi="Times New Roman" w:cs="Times New Roman"/>
          <w:sz w:val="24"/>
          <w:szCs w:val="24"/>
          <w:lang w:eastAsia="bg-BG"/>
        </w:rPr>
      </w:pPr>
      <w:r>
        <w:rPr>
          <w:lang w:eastAsia="bg-BG"/>
        </w:rPr>
        <w:fldChar w:fldCharType="begin"/>
      </w:r>
      <w:r>
        <w:rPr>
          <w:lang w:eastAsia="bg-BG"/>
        </w:rPr>
        <w:instrText xml:space="preserve"> LINK </w:instrText>
      </w:r>
      <w:r w:rsidR="0089600F">
        <w:rPr>
          <w:lang w:eastAsia="bg-BG"/>
        </w:rPr>
        <w:instrText xml:space="preserve">Excel.SheetMacroEnabled.12 "D:\\SOTIR\\DKEWR\\01.07.2023-30.06.2024\\Spr_1-5_2023 NRCEE_28.03.2023_SG_.xlsm" ТИП!R10C1:R22C5 </w:instrText>
      </w:r>
      <w:r>
        <w:rPr>
          <w:lang w:eastAsia="bg-BG"/>
        </w:rPr>
        <w:instrText xml:space="preserve">\a \f 4 \h  \* MERGEFORMAT </w:instrText>
      </w:r>
      <w:r>
        <w:rPr>
          <w:lang w:eastAsia="bg-BG"/>
        </w:rPr>
        <w:fldChar w:fldCharType="separat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4"/>
        <w:gridCol w:w="5751"/>
        <w:gridCol w:w="1154"/>
        <w:gridCol w:w="1483"/>
      </w:tblGrid>
      <w:tr w:rsidR="004356D9" w:rsidRPr="0089600F" w14:paraId="6635F1E1" w14:textId="77777777" w:rsidTr="004356D9">
        <w:trPr>
          <w:divId w:val="196084268"/>
          <w:trHeight w:val="450"/>
        </w:trPr>
        <w:tc>
          <w:tcPr>
            <w:tcW w:w="372" w:type="pct"/>
            <w:vMerge w:val="restart"/>
            <w:shd w:val="clear" w:color="auto" w:fill="auto"/>
            <w:vAlign w:val="center"/>
            <w:hideMark/>
          </w:tcPr>
          <w:p w14:paraId="5BFA6B8D" w14:textId="2FFF4F12" w:rsidR="004356D9" w:rsidRPr="00292EED" w:rsidRDefault="004356D9">
            <w:pPr>
              <w:spacing w:after="0" w:line="240" w:lineRule="auto"/>
              <w:jc w:val="center"/>
              <w:rPr>
                <w:rFonts w:ascii="Times New Roman" w:eastAsia="Times New Roman" w:hAnsi="Times New Roman" w:cs="Times New Roman"/>
                <w:b/>
                <w:bCs/>
                <w:sz w:val="20"/>
                <w:szCs w:val="20"/>
                <w:lang w:eastAsia="bg-BG"/>
              </w:rPr>
            </w:pPr>
            <w:r w:rsidRPr="00292EED">
              <w:rPr>
                <w:rFonts w:ascii="Times New Roman" w:eastAsia="Times New Roman" w:hAnsi="Times New Roman" w:cs="Times New Roman"/>
                <w:b/>
                <w:bCs/>
                <w:sz w:val="20"/>
                <w:szCs w:val="20"/>
                <w:lang w:eastAsia="bg-BG"/>
              </w:rPr>
              <w:t>№</w:t>
            </w:r>
          </w:p>
        </w:tc>
        <w:tc>
          <w:tcPr>
            <w:tcW w:w="3173" w:type="pct"/>
            <w:vMerge w:val="restart"/>
            <w:shd w:val="clear" w:color="auto" w:fill="auto"/>
            <w:vAlign w:val="center"/>
            <w:hideMark/>
          </w:tcPr>
          <w:p w14:paraId="30FCEF32" w14:textId="77777777" w:rsidR="004356D9" w:rsidRPr="00292EED" w:rsidRDefault="004356D9">
            <w:pPr>
              <w:spacing w:after="0" w:line="240" w:lineRule="auto"/>
              <w:jc w:val="center"/>
              <w:rPr>
                <w:rFonts w:ascii="Times New Roman" w:eastAsia="Times New Roman" w:hAnsi="Times New Roman" w:cs="Times New Roman"/>
                <w:b/>
                <w:bCs/>
                <w:sz w:val="20"/>
                <w:szCs w:val="20"/>
                <w:lang w:eastAsia="bg-BG"/>
              </w:rPr>
            </w:pPr>
            <w:r w:rsidRPr="00292EED">
              <w:rPr>
                <w:rFonts w:ascii="Times New Roman" w:eastAsia="Times New Roman" w:hAnsi="Times New Roman" w:cs="Times New Roman"/>
                <w:b/>
                <w:bCs/>
                <w:sz w:val="20"/>
                <w:szCs w:val="20"/>
                <w:lang w:eastAsia="bg-BG"/>
              </w:rPr>
              <w:t>ТЕХНИКО-ИКОНОМИЧЕСКИ ПОКАЗАТЕЛИ</w:t>
            </w:r>
          </w:p>
        </w:tc>
        <w:tc>
          <w:tcPr>
            <w:tcW w:w="637" w:type="pct"/>
            <w:vMerge w:val="restart"/>
            <w:shd w:val="clear" w:color="auto" w:fill="auto"/>
            <w:vAlign w:val="center"/>
            <w:hideMark/>
          </w:tcPr>
          <w:p w14:paraId="72711C04" w14:textId="77777777" w:rsidR="004356D9" w:rsidRPr="00292EED" w:rsidRDefault="004356D9">
            <w:pPr>
              <w:spacing w:after="0" w:line="240" w:lineRule="auto"/>
              <w:jc w:val="center"/>
              <w:rPr>
                <w:rFonts w:ascii="Times New Roman" w:eastAsia="Times New Roman" w:hAnsi="Times New Roman" w:cs="Times New Roman"/>
                <w:b/>
                <w:bCs/>
                <w:sz w:val="20"/>
                <w:szCs w:val="20"/>
                <w:lang w:eastAsia="bg-BG"/>
              </w:rPr>
            </w:pPr>
            <w:r w:rsidRPr="00292EED">
              <w:rPr>
                <w:rFonts w:ascii="Times New Roman" w:eastAsia="Times New Roman" w:hAnsi="Times New Roman" w:cs="Times New Roman"/>
                <w:b/>
                <w:bCs/>
                <w:sz w:val="20"/>
                <w:szCs w:val="20"/>
                <w:lang w:eastAsia="bg-BG"/>
              </w:rPr>
              <w:t>МЯРКА</w:t>
            </w:r>
          </w:p>
        </w:tc>
        <w:tc>
          <w:tcPr>
            <w:tcW w:w="818" w:type="pct"/>
            <w:vMerge w:val="restart"/>
            <w:shd w:val="clear" w:color="auto" w:fill="auto"/>
            <w:vAlign w:val="center"/>
            <w:hideMark/>
          </w:tcPr>
          <w:p w14:paraId="312B53AD" w14:textId="287EDEA9" w:rsidR="004356D9" w:rsidRPr="00292EED" w:rsidRDefault="004356D9">
            <w:pPr>
              <w:spacing w:after="0" w:line="240" w:lineRule="auto"/>
              <w:jc w:val="center"/>
              <w:rPr>
                <w:rFonts w:ascii="Times New Roman" w:eastAsia="Times New Roman" w:hAnsi="Times New Roman" w:cs="Times New Roman"/>
                <w:b/>
                <w:bCs/>
                <w:sz w:val="20"/>
                <w:szCs w:val="20"/>
                <w:lang w:val="en-US" w:eastAsia="bg-BG"/>
              </w:rPr>
            </w:pPr>
            <w:r w:rsidRPr="00292EED">
              <w:rPr>
                <w:rFonts w:ascii="Times New Roman" w:eastAsia="Times New Roman" w:hAnsi="Times New Roman" w:cs="Times New Roman"/>
                <w:b/>
                <w:bCs/>
                <w:sz w:val="20"/>
                <w:szCs w:val="20"/>
                <w:lang w:eastAsia="bg-BG"/>
              </w:rPr>
              <w:t>Прогноза        регулаторен период 01.07.202</w:t>
            </w:r>
            <w:r w:rsidR="00D237CC">
              <w:rPr>
                <w:rFonts w:ascii="Times New Roman" w:eastAsia="Times New Roman" w:hAnsi="Times New Roman" w:cs="Times New Roman"/>
                <w:b/>
                <w:bCs/>
                <w:sz w:val="20"/>
                <w:szCs w:val="20"/>
                <w:lang w:eastAsia="bg-BG"/>
              </w:rPr>
              <w:t>5</w:t>
            </w:r>
            <w:r w:rsidRPr="00292EED">
              <w:rPr>
                <w:rFonts w:ascii="Times New Roman" w:eastAsia="Times New Roman" w:hAnsi="Times New Roman" w:cs="Times New Roman"/>
                <w:b/>
                <w:bCs/>
                <w:sz w:val="20"/>
                <w:szCs w:val="20"/>
                <w:lang w:eastAsia="bg-BG"/>
              </w:rPr>
              <w:t>- 30.06.202</w:t>
            </w:r>
            <w:r w:rsidR="00D237CC">
              <w:rPr>
                <w:rFonts w:ascii="Times New Roman" w:eastAsia="Times New Roman" w:hAnsi="Times New Roman" w:cs="Times New Roman"/>
                <w:b/>
                <w:bCs/>
                <w:sz w:val="20"/>
                <w:szCs w:val="20"/>
                <w:lang w:eastAsia="bg-BG"/>
              </w:rPr>
              <w:t>6</w:t>
            </w:r>
          </w:p>
        </w:tc>
      </w:tr>
      <w:tr w:rsidR="004356D9" w:rsidRPr="0089600F" w14:paraId="21304716" w14:textId="77777777" w:rsidTr="004356D9">
        <w:trPr>
          <w:divId w:val="196084268"/>
          <w:trHeight w:val="840"/>
        </w:trPr>
        <w:tc>
          <w:tcPr>
            <w:tcW w:w="372" w:type="pct"/>
            <w:vMerge/>
            <w:shd w:val="clear" w:color="auto" w:fill="auto"/>
            <w:vAlign w:val="center"/>
            <w:hideMark/>
          </w:tcPr>
          <w:p w14:paraId="3E8D435E" w14:textId="77777777" w:rsidR="004356D9" w:rsidRPr="00292EED" w:rsidRDefault="004356D9">
            <w:pPr>
              <w:spacing w:after="0" w:line="240" w:lineRule="auto"/>
              <w:rPr>
                <w:rFonts w:ascii="Times New Roman" w:eastAsia="Times New Roman" w:hAnsi="Times New Roman" w:cs="Times New Roman"/>
                <w:b/>
                <w:bCs/>
                <w:sz w:val="20"/>
                <w:szCs w:val="20"/>
                <w:lang w:eastAsia="bg-BG"/>
              </w:rPr>
            </w:pPr>
          </w:p>
        </w:tc>
        <w:tc>
          <w:tcPr>
            <w:tcW w:w="3173" w:type="pct"/>
            <w:vMerge/>
            <w:shd w:val="clear" w:color="auto" w:fill="auto"/>
            <w:vAlign w:val="center"/>
            <w:hideMark/>
          </w:tcPr>
          <w:p w14:paraId="4C5E45F0" w14:textId="77777777" w:rsidR="004356D9" w:rsidRPr="00292EED" w:rsidRDefault="004356D9">
            <w:pPr>
              <w:spacing w:after="0" w:line="240" w:lineRule="auto"/>
              <w:rPr>
                <w:rFonts w:ascii="Times New Roman" w:eastAsia="Times New Roman" w:hAnsi="Times New Roman" w:cs="Times New Roman"/>
                <w:b/>
                <w:bCs/>
                <w:sz w:val="20"/>
                <w:szCs w:val="20"/>
                <w:lang w:eastAsia="bg-BG"/>
              </w:rPr>
            </w:pPr>
          </w:p>
        </w:tc>
        <w:tc>
          <w:tcPr>
            <w:tcW w:w="637" w:type="pct"/>
            <w:vMerge/>
            <w:shd w:val="clear" w:color="auto" w:fill="auto"/>
            <w:vAlign w:val="center"/>
            <w:hideMark/>
          </w:tcPr>
          <w:p w14:paraId="57ADEB64" w14:textId="77777777" w:rsidR="004356D9" w:rsidRPr="00292EED" w:rsidRDefault="004356D9">
            <w:pPr>
              <w:spacing w:after="0" w:line="240" w:lineRule="auto"/>
              <w:rPr>
                <w:rFonts w:ascii="Times New Roman" w:eastAsia="Times New Roman" w:hAnsi="Times New Roman" w:cs="Times New Roman"/>
                <w:b/>
                <w:bCs/>
                <w:sz w:val="20"/>
                <w:szCs w:val="20"/>
                <w:lang w:eastAsia="bg-BG"/>
              </w:rPr>
            </w:pPr>
          </w:p>
        </w:tc>
        <w:tc>
          <w:tcPr>
            <w:tcW w:w="818" w:type="pct"/>
            <w:vMerge/>
            <w:shd w:val="clear" w:color="auto" w:fill="auto"/>
            <w:vAlign w:val="center"/>
            <w:hideMark/>
          </w:tcPr>
          <w:p w14:paraId="2BD4E3B4" w14:textId="77777777" w:rsidR="004356D9" w:rsidRPr="00292EED" w:rsidRDefault="004356D9">
            <w:pPr>
              <w:spacing w:after="0" w:line="240" w:lineRule="auto"/>
              <w:rPr>
                <w:rFonts w:ascii="Times New Roman" w:eastAsia="Times New Roman" w:hAnsi="Times New Roman" w:cs="Times New Roman"/>
                <w:b/>
                <w:bCs/>
                <w:sz w:val="20"/>
                <w:szCs w:val="20"/>
                <w:lang w:eastAsia="bg-BG"/>
              </w:rPr>
            </w:pPr>
          </w:p>
        </w:tc>
      </w:tr>
      <w:tr w:rsidR="004356D9" w:rsidRPr="0089600F" w14:paraId="65A68573" w14:textId="77777777" w:rsidTr="004356D9">
        <w:trPr>
          <w:divId w:val="196084268"/>
          <w:trHeight w:val="225"/>
        </w:trPr>
        <w:tc>
          <w:tcPr>
            <w:tcW w:w="372" w:type="pct"/>
            <w:shd w:val="clear" w:color="auto" w:fill="auto"/>
            <w:noWrap/>
            <w:vAlign w:val="bottom"/>
            <w:hideMark/>
          </w:tcPr>
          <w:p w14:paraId="5423D089" w14:textId="3965CD15" w:rsidR="004356D9" w:rsidRPr="00292EED" w:rsidRDefault="004356D9" w:rsidP="003D51C0">
            <w:pPr>
              <w:spacing w:after="0" w:line="240" w:lineRule="auto"/>
              <w:jc w:val="center"/>
              <w:rPr>
                <w:rFonts w:ascii="Times New Roman" w:eastAsia="Times New Roman" w:hAnsi="Times New Roman" w:cs="Times New Roman"/>
                <w:sz w:val="20"/>
                <w:szCs w:val="20"/>
                <w:lang w:eastAsia="bg-BG"/>
              </w:rPr>
            </w:pPr>
          </w:p>
        </w:tc>
        <w:tc>
          <w:tcPr>
            <w:tcW w:w="3173" w:type="pct"/>
            <w:shd w:val="clear" w:color="auto" w:fill="auto"/>
            <w:noWrap/>
            <w:vAlign w:val="center"/>
            <w:hideMark/>
          </w:tcPr>
          <w:p w14:paraId="7D0404C9" w14:textId="11796AC2" w:rsidR="004356D9" w:rsidRPr="00292EED" w:rsidRDefault="004356D9" w:rsidP="003D51C0">
            <w:pPr>
              <w:spacing w:after="0" w:line="240" w:lineRule="auto"/>
              <w:jc w:val="center"/>
              <w:rPr>
                <w:rFonts w:ascii="Times New Roman" w:eastAsia="Times New Roman" w:hAnsi="Times New Roman" w:cs="Times New Roman"/>
                <w:sz w:val="20"/>
                <w:szCs w:val="20"/>
                <w:lang w:eastAsia="bg-BG"/>
              </w:rPr>
            </w:pPr>
          </w:p>
        </w:tc>
        <w:tc>
          <w:tcPr>
            <w:tcW w:w="637" w:type="pct"/>
            <w:shd w:val="clear" w:color="auto" w:fill="auto"/>
            <w:noWrap/>
            <w:vAlign w:val="center"/>
            <w:hideMark/>
          </w:tcPr>
          <w:p w14:paraId="1E389E3D" w14:textId="7A015CEE" w:rsidR="004356D9" w:rsidRPr="00292EED" w:rsidRDefault="004356D9" w:rsidP="003D51C0">
            <w:pPr>
              <w:spacing w:after="0" w:line="240" w:lineRule="auto"/>
              <w:jc w:val="center"/>
              <w:rPr>
                <w:rFonts w:ascii="Times New Roman" w:eastAsia="Times New Roman" w:hAnsi="Times New Roman" w:cs="Times New Roman"/>
                <w:sz w:val="20"/>
                <w:szCs w:val="20"/>
                <w:lang w:eastAsia="bg-BG"/>
              </w:rPr>
            </w:pPr>
          </w:p>
        </w:tc>
        <w:tc>
          <w:tcPr>
            <w:tcW w:w="818" w:type="pct"/>
            <w:shd w:val="clear" w:color="auto" w:fill="auto"/>
            <w:noWrap/>
            <w:vAlign w:val="center"/>
            <w:hideMark/>
          </w:tcPr>
          <w:p w14:paraId="1BECC74D" w14:textId="230500FD" w:rsidR="004356D9" w:rsidRPr="00292EED" w:rsidRDefault="004356D9">
            <w:pPr>
              <w:spacing w:after="0" w:line="240" w:lineRule="auto"/>
              <w:jc w:val="center"/>
              <w:rPr>
                <w:rFonts w:ascii="Times New Roman" w:eastAsia="Times New Roman" w:hAnsi="Times New Roman" w:cs="Times New Roman"/>
                <w:sz w:val="20"/>
                <w:szCs w:val="20"/>
                <w:lang w:eastAsia="bg-BG"/>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4"/>
        <w:gridCol w:w="5751"/>
        <w:gridCol w:w="1154"/>
        <w:gridCol w:w="1483"/>
      </w:tblGrid>
      <w:tr w:rsidR="004711B4" w:rsidRPr="0089600F" w14:paraId="3474C54C" w14:textId="77777777" w:rsidTr="004711B4">
        <w:trPr>
          <w:trHeight w:val="255"/>
        </w:trPr>
        <w:tc>
          <w:tcPr>
            <w:tcW w:w="372" w:type="pct"/>
            <w:shd w:val="clear" w:color="auto" w:fill="auto"/>
            <w:noWrap/>
            <w:vAlign w:val="bottom"/>
            <w:hideMark/>
          </w:tcPr>
          <w:p w14:paraId="405A7A9F" w14:textId="77777777" w:rsidR="004711B4" w:rsidRPr="00292EED" w:rsidRDefault="004711B4" w:rsidP="003D51C0">
            <w:pPr>
              <w:spacing w:after="0" w:line="240" w:lineRule="auto"/>
              <w:jc w:val="center"/>
              <w:rPr>
                <w:rFonts w:ascii="Times New Roman" w:eastAsia="Times New Roman" w:hAnsi="Times New Roman" w:cs="Times New Roman"/>
                <w:sz w:val="20"/>
                <w:szCs w:val="20"/>
                <w:lang w:eastAsia="bg-BG"/>
              </w:rPr>
            </w:pPr>
            <w:r w:rsidRPr="00292EED">
              <w:rPr>
                <w:rFonts w:ascii="Times New Roman" w:eastAsia="Times New Roman" w:hAnsi="Times New Roman" w:cs="Times New Roman"/>
                <w:sz w:val="20"/>
                <w:szCs w:val="20"/>
                <w:lang w:eastAsia="bg-BG"/>
              </w:rPr>
              <w:t>1</w:t>
            </w:r>
          </w:p>
        </w:tc>
        <w:tc>
          <w:tcPr>
            <w:tcW w:w="3173" w:type="pct"/>
            <w:shd w:val="clear" w:color="auto" w:fill="auto"/>
            <w:noWrap/>
            <w:vAlign w:val="center"/>
            <w:hideMark/>
          </w:tcPr>
          <w:p w14:paraId="6A1F0A8A" w14:textId="77777777" w:rsidR="004711B4" w:rsidRPr="00292EED" w:rsidRDefault="004711B4" w:rsidP="003D51C0">
            <w:pPr>
              <w:spacing w:after="0" w:line="240" w:lineRule="auto"/>
              <w:rPr>
                <w:rFonts w:ascii="Times New Roman" w:eastAsia="Times New Roman" w:hAnsi="Times New Roman" w:cs="Times New Roman"/>
                <w:sz w:val="20"/>
                <w:szCs w:val="20"/>
                <w:lang w:eastAsia="bg-BG"/>
              </w:rPr>
            </w:pPr>
            <w:r w:rsidRPr="00292EED">
              <w:rPr>
                <w:rFonts w:ascii="Times New Roman" w:eastAsia="Times New Roman" w:hAnsi="Times New Roman" w:cs="Times New Roman"/>
                <w:sz w:val="20"/>
                <w:szCs w:val="20"/>
                <w:lang w:eastAsia="bg-BG"/>
              </w:rPr>
              <w:t>НЕТНА ЕЛЕКТРИЧЕСКА ЕНЕРГИЯ</w:t>
            </w:r>
            <w:r w:rsidRPr="00292EED">
              <w:rPr>
                <w:rFonts w:ascii="Times New Roman" w:eastAsia="Times New Roman" w:hAnsi="Times New Roman" w:cs="Times New Roman"/>
                <w:b/>
                <w:bCs/>
                <w:sz w:val="20"/>
                <w:szCs w:val="20"/>
                <w:lang w:eastAsia="bg-BG"/>
              </w:rPr>
              <w:t xml:space="preserve"> Ен</w:t>
            </w:r>
          </w:p>
        </w:tc>
        <w:tc>
          <w:tcPr>
            <w:tcW w:w="637" w:type="pct"/>
            <w:shd w:val="clear" w:color="auto" w:fill="auto"/>
            <w:noWrap/>
            <w:vAlign w:val="center"/>
            <w:hideMark/>
          </w:tcPr>
          <w:p w14:paraId="43E435BC" w14:textId="77777777" w:rsidR="004711B4" w:rsidRPr="00292EED" w:rsidRDefault="004711B4" w:rsidP="003D51C0">
            <w:pPr>
              <w:spacing w:after="0" w:line="240" w:lineRule="auto"/>
              <w:jc w:val="center"/>
              <w:rPr>
                <w:rFonts w:ascii="Times New Roman" w:eastAsia="Times New Roman" w:hAnsi="Times New Roman" w:cs="Times New Roman"/>
                <w:sz w:val="20"/>
                <w:szCs w:val="20"/>
                <w:lang w:eastAsia="bg-BG"/>
              </w:rPr>
            </w:pPr>
            <w:proofErr w:type="spellStart"/>
            <w:r w:rsidRPr="00292EED">
              <w:rPr>
                <w:rFonts w:ascii="Times New Roman" w:eastAsia="Times New Roman" w:hAnsi="Times New Roman" w:cs="Times New Roman"/>
                <w:sz w:val="20"/>
                <w:szCs w:val="20"/>
                <w:lang w:eastAsia="bg-BG"/>
              </w:rPr>
              <w:t>МВтч</w:t>
            </w:r>
            <w:proofErr w:type="spellEnd"/>
          </w:p>
        </w:tc>
        <w:tc>
          <w:tcPr>
            <w:tcW w:w="818" w:type="pct"/>
            <w:shd w:val="clear" w:color="auto" w:fill="auto"/>
            <w:noWrap/>
            <w:hideMark/>
          </w:tcPr>
          <w:p w14:paraId="65EC4736" w14:textId="1795E09B" w:rsidR="004711B4" w:rsidRPr="005066BD" w:rsidRDefault="00F90F8D">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w:t>
            </w:r>
          </w:p>
        </w:tc>
      </w:tr>
      <w:tr w:rsidR="004711B4" w:rsidRPr="0089600F" w14:paraId="7644CBFD" w14:textId="77777777" w:rsidTr="00F90F8D">
        <w:trPr>
          <w:trHeight w:val="255"/>
        </w:trPr>
        <w:tc>
          <w:tcPr>
            <w:tcW w:w="372" w:type="pct"/>
            <w:shd w:val="clear" w:color="auto" w:fill="auto"/>
            <w:noWrap/>
            <w:vAlign w:val="bottom"/>
            <w:hideMark/>
          </w:tcPr>
          <w:p w14:paraId="7EC1D6E9" w14:textId="77777777" w:rsidR="004711B4" w:rsidRPr="00292EED" w:rsidRDefault="004711B4" w:rsidP="003D51C0">
            <w:pPr>
              <w:spacing w:after="0" w:line="240" w:lineRule="auto"/>
              <w:jc w:val="center"/>
              <w:rPr>
                <w:rFonts w:ascii="Times New Roman" w:eastAsia="Times New Roman" w:hAnsi="Times New Roman" w:cs="Times New Roman"/>
                <w:sz w:val="20"/>
                <w:szCs w:val="20"/>
                <w:lang w:eastAsia="bg-BG"/>
              </w:rPr>
            </w:pPr>
            <w:r w:rsidRPr="00292EED">
              <w:rPr>
                <w:rFonts w:ascii="Times New Roman" w:eastAsia="Times New Roman" w:hAnsi="Times New Roman" w:cs="Times New Roman"/>
                <w:sz w:val="20"/>
                <w:szCs w:val="20"/>
                <w:lang w:eastAsia="bg-BG"/>
              </w:rPr>
              <w:t>2</w:t>
            </w:r>
          </w:p>
        </w:tc>
        <w:tc>
          <w:tcPr>
            <w:tcW w:w="3173" w:type="pct"/>
            <w:shd w:val="clear" w:color="auto" w:fill="auto"/>
            <w:vAlign w:val="center"/>
            <w:hideMark/>
          </w:tcPr>
          <w:p w14:paraId="6D5EB4D5" w14:textId="77777777" w:rsidR="004711B4" w:rsidRPr="00292EED" w:rsidRDefault="004711B4" w:rsidP="003D51C0">
            <w:pPr>
              <w:spacing w:after="0" w:line="240" w:lineRule="auto"/>
              <w:rPr>
                <w:rFonts w:ascii="Times New Roman" w:eastAsia="Times New Roman" w:hAnsi="Times New Roman" w:cs="Times New Roman"/>
                <w:sz w:val="20"/>
                <w:szCs w:val="20"/>
                <w:lang w:eastAsia="bg-BG"/>
              </w:rPr>
            </w:pPr>
            <w:r w:rsidRPr="00292EED">
              <w:rPr>
                <w:rFonts w:ascii="Times New Roman" w:eastAsia="Times New Roman" w:hAnsi="Times New Roman" w:cs="Times New Roman"/>
                <w:sz w:val="20"/>
                <w:szCs w:val="20"/>
                <w:lang w:eastAsia="bg-BG"/>
              </w:rPr>
              <w:t xml:space="preserve">РАЗПОЛАГАЕМОСТ НА ПРЕДОСТАВЕНАТА МОЩНОСТ </w:t>
            </w:r>
            <w:proofErr w:type="spellStart"/>
            <w:r w:rsidRPr="00292EED">
              <w:rPr>
                <w:rFonts w:ascii="Times New Roman" w:eastAsia="Times New Roman" w:hAnsi="Times New Roman" w:cs="Times New Roman"/>
                <w:b/>
                <w:bCs/>
                <w:sz w:val="20"/>
                <w:szCs w:val="20"/>
                <w:lang w:eastAsia="bg-BG"/>
              </w:rPr>
              <w:t>Рпр.м</w:t>
            </w:r>
            <w:proofErr w:type="spellEnd"/>
            <w:r w:rsidRPr="00292EED">
              <w:rPr>
                <w:rFonts w:ascii="Times New Roman" w:eastAsia="Times New Roman" w:hAnsi="Times New Roman" w:cs="Times New Roman"/>
                <w:b/>
                <w:bCs/>
                <w:sz w:val="20"/>
                <w:szCs w:val="20"/>
                <w:lang w:eastAsia="bg-BG"/>
              </w:rPr>
              <w:t xml:space="preserve"> </w:t>
            </w:r>
          </w:p>
        </w:tc>
        <w:tc>
          <w:tcPr>
            <w:tcW w:w="637" w:type="pct"/>
            <w:shd w:val="clear" w:color="auto" w:fill="auto"/>
            <w:noWrap/>
            <w:vAlign w:val="center"/>
            <w:hideMark/>
          </w:tcPr>
          <w:p w14:paraId="654C49E2" w14:textId="77777777" w:rsidR="004711B4" w:rsidRPr="00292EED" w:rsidRDefault="004711B4" w:rsidP="003D51C0">
            <w:pPr>
              <w:spacing w:after="0" w:line="240" w:lineRule="auto"/>
              <w:jc w:val="center"/>
              <w:rPr>
                <w:rFonts w:ascii="Times New Roman" w:eastAsia="Times New Roman" w:hAnsi="Times New Roman" w:cs="Times New Roman"/>
                <w:sz w:val="20"/>
                <w:szCs w:val="20"/>
                <w:lang w:eastAsia="bg-BG"/>
              </w:rPr>
            </w:pPr>
            <w:proofErr w:type="spellStart"/>
            <w:r w:rsidRPr="00292EED">
              <w:rPr>
                <w:rFonts w:ascii="Times New Roman" w:eastAsia="Times New Roman" w:hAnsi="Times New Roman" w:cs="Times New Roman"/>
                <w:sz w:val="20"/>
                <w:szCs w:val="20"/>
                <w:lang w:eastAsia="bg-BG"/>
              </w:rPr>
              <w:t>МВтч</w:t>
            </w:r>
            <w:proofErr w:type="spellEnd"/>
          </w:p>
        </w:tc>
        <w:tc>
          <w:tcPr>
            <w:tcW w:w="818" w:type="pct"/>
            <w:shd w:val="clear" w:color="auto" w:fill="auto"/>
            <w:noWrap/>
          </w:tcPr>
          <w:p w14:paraId="41C67A0B" w14:textId="193D76D4" w:rsidR="004711B4" w:rsidRPr="005066BD" w:rsidRDefault="00F90F8D">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w:t>
            </w:r>
          </w:p>
        </w:tc>
      </w:tr>
      <w:tr w:rsidR="004711B4" w:rsidRPr="0089600F" w14:paraId="2EE4DA19" w14:textId="77777777" w:rsidTr="00F90F8D">
        <w:trPr>
          <w:trHeight w:val="240"/>
        </w:trPr>
        <w:tc>
          <w:tcPr>
            <w:tcW w:w="372" w:type="pct"/>
            <w:shd w:val="clear" w:color="auto" w:fill="auto"/>
            <w:noWrap/>
            <w:vAlign w:val="bottom"/>
            <w:hideMark/>
          </w:tcPr>
          <w:p w14:paraId="48529A80" w14:textId="77777777" w:rsidR="004711B4" w:rsidRPr="00292EED" w:rsidRDefault="004711B4" w:rsidP="003D51C0">
            <w:pPr>
              <w:spacing w:after="0" w:line="240" w:lineRule="auto"/>
              <w:jc w:val="center"/>
              <w:rPr>
                <w:rFonts w:ascii="Times New Roman" w:eastAsia="Times New Roman" w:hAnsi="Times New Roman" w:cs="Times New Roman"/>
                <w:sz w:val="20"/>
                <w:szCs w:val="20"/>
                <w:lang w:eastAsia="bg-BG"/>
              </w:rPr>
            </w:pPr>
            <w:r w:rsidRPr="00292EED">
              <w:rPr>
                <w:rFonts w:ascii="Times New Roman" w:eastAsia="Times New Roman" w:hAnsi="Times New Roman" w:cs="Times New Roman"/>
                <w:sz w:val="20"/>
                <w:szCs w:val="20"/>
                <w:lang w:eastAsia="bg-BG"/>
              </w:rPr>
              <w:t>3</w:t>
            </w:r>
          </w:p>
        </w:tc>
        <w:tc>
          <w:tcPr>
            <w:tcW w:w="3173" w:type="pct"/>
            <w:shd w:val="clear" w:color="auto" w:fill="auto"/>
            <w:noWrap/>
            <w:vAlign w:val="center"/>
            <w:hideMark/>
          </w:tcPr>
          <w:p w14:paraId="23FE086D" w14:textId="77777777" w:rsidR="004711B4" w:rsidRPr="00292EED" w:rsidRDefault="004711B4" w:rsidP="003D51C0">
            <w:pPr>
              <w:spacing w:after="0" w:line="240" w:lineRule="auto"/>
              <w:rPr>
                <w:rFonts w:ascii="Times New Roman" w:eastAsia="Times New Roman" w:hAnsi="Times New Roman" w:cs="Times New Roman"/>
                <w:sz w:val="20"/>
                <w:szCs w:val="20"/>
                <w:lang w:eastAsia="bg-BG"/>
              </w:rPr>
            </w:pPr>
            <w:r w:rsidRPr="00292EED">
              <w:rPr>
                <w:rFonts w:ascii="Times New Roman" w:eastAsia="Times New Roman" w:hAnsi="Times New Roman" w:cs="Times New Roman"/>
                <w:sz w:val="20"/>
                <w:szCs w:val="20"/>
                <w:lang w:eastAsia="bg-BG"/>
              </w:rPr>
              <w:t>ПРОМЕНЛИВИ РАЗХОДИ</w:t>
            </w:r>
          </w:p>
        </w:tc>
        <w:tc>
          <w:tcPr>
            <w:tcW w:w="637" w:type="pct"/>
            <w:shd w:val="clear" w:color="auto" w:fill="auto"/>
            <w:noWrap/>
            <w:vAlign w:val="center"/>
            <w:hideMark/>
          </w:tcPr>
          <w:p w14:paraId="639614F6" w14:textId="77777777" w:rsidR="004711B4" w:rsidRPr="00292EED" w:rsidRDefault="004711B4" w:rsidP="003D51C0">
            <w:pPr>
              <w:spacing w:after="0" w:line="240" w:lineRule="auto"/>
              <w:jc w:val="center"/>
              <w:rPr>
                <w:rFonts w:ascii="Times New Roman" w:eastAsia="Times New Roman" w:hAnsi="Times New Roman" w:cs="Times New Roman"/>
                <w:sz w:val="20"/>
                <w:szCs w:val="20"/>
                <w:lang w:eastAsia="bg-BG"/>
              </w:rPr>
            </w:pPr>
            <w:proofErr w:type="spellStart"/>
            <w:r w:rsidRPr="00292EED">
              <w:rPr>
                <w:rFonts w:ascii="Times New Roman" w:eastAsia="Times New Roman" w:hAnsi="Times New Roman" w:cs="Times New Roman"/>
                <w:sz w:val="20"/>
                <w:szCs w:val="20"/>
                <w:lang w:eastAsia="bg-BG"/>
              </w:rPr>
              <w:t>хил.лв</w:t>
            </w:r>
            <w:proofErr w:type="spellEnd"/>
            <w:r w:rsidRPr="00292EED">
              <w:rPr>
                <w:rFonts w:ascii="Times New Roman" w:eastAsia="Times New Roman" w:hAnsi="Times New Roman" w:cs="Times New Roman"/>
                <w:sz w:val="20"/>
                <w:szCs w:val="20"/>
                <w:lang w:eastAsia="bg-BG"/>
              </w:rPr>
              <w:t>.</w:t>
            </w:r>
          </w:p>
        </w:tc>
        <w:tc>
          <w:tcPr>
            <w:tcW w:w="818" w:type="pct"/>
            <w:shd w:val="clear" w:color="auto" w:fill="auto"/>
            <w:noWrap/>
          </w:tcPr>
          <w:p w14:paraId="4B76FD6B" w14:textId="66046194" w:rsidR="004711B4" w:rsidRPr="005066BD" w:rsidRDefault="00F90F8D">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w:t>
            </w:r>
          </w:p>
        </w:tc>
      </w:tr>
      <w:tr w:rsidR="004711B4" w:rsidRPr="0089600F" w14:paraId="52CCEAAD" w14:textId="77777777" w:rsidTr="00F90F8D">
        <w:trPr>
          <w:trHeight w:val="255"/>
        </w:trPr>
        <w:tc>
          <w:tcPr>
            <w:tcW w:w="372" w:type="pct"/>
            <w:shd w:val="clear" w:color="auto" w:fill="auto"/>
            <w:noWrap/>
            <w:vAlign w:val="bottom"/>
            <w:hideMark/>
          </w:tcPr>
          <w:p w14:paraId="1C8FBDF6" w14:textId="77777777" w:rsidR="004711B4" w:rsidRPr="00292EED" w:rsidRDefault="004711B4" w:rsidP="003D51C0">
            <w:pPr>
              <w:spacing w:after="0" w:line="240" w:lineRule="auto"/>
              <w:jc w:val="center"/>
              <w:rPr>
                <w:rFonts w:ascii="Times New Roman" w:eastAsia="Times New Roman" w:hAnsi="Times New Roman" w:cs="Times New Roman"/>
                <w:sz w:val="20"/>
                <w:szCs w:val="20"/>
                <w:lang w:eastAsia="bg-BG"/>
              </w:rPr>
            </w:pPr>
            <w:r w:rsidRPr="00292EED">
              <w:rPr>
                <w:rFonts w:ascii="Times New Roman" w:eastAsia="Times New Roman" w:hAnsi="Times New Roman" w:cs="Times New Roman"/>
                <w:sz w:val="20"/>
                <w:szCs w:val="20"/>
                <w:lang w:eastAsia="bg-BG"/>
              </w:rPr>
              <w:t>4</w:t>
            </w:r>
          </w:p>
        </w:tc>
        <w:tc>
          <w:tcPr>
            <w:tcW w:w="3173" w:type="pct"/>
            <w:shd w:val="clear" w:color="auto" w:fill="auto"/>
            <w:noWrap/>
            <w:vAlign w:val="center"/>
            <w:hideMark/>
          </w:tcPr>
          <w:p w14:paraId="517747C7" w14:textId="77777777" w:rsidR="004711B4" w:rsidRPr="00292EED" w:rsidRDefault="004711B4" w:rsidP="003D51C0">
            <w:pPr>
              <w:spacing w:after="0" w:line="240" w:lineRule="auto"/>
              <w:rPr>
                <w:rFonts w:ascii="Times New Roman" w:eastAsia="Times New Roman" w:hAnsi="Times New Roman" w:cs="Times New Roman"/>
                <w:sz w:val="20"/>
                <w:szCs w:val="20"/>
                <w:lang w:eastAsia="bg-BG"/>
              </w:rPr>
            </w:pPr>
            <w:r w:rsidRPr="00292EED">
              <w:rPr>
                <w:rFonts w:ascii="Times New Roman" w:eastAsia="Times New Roman" w:hAnsi="Times New Roman" w:cs="Times New Roman"/>
                <w:sz w:val="20"/>
                <w:szCs w:val="20"/>
                <w:lang w:eastAsia="bg-BG"/>
              </w:rPr>
              <w:t>УСЛОВНО-ПОСТОЯННИ РАЗХОДИ</w:t>
            </w:r>
          </w:p>
        </w:tc>
        <w:tc>
          <w:tcPr>
            <w:tcW w:w="637" w:type="pct"/>
            <w:shd w:val="clear" w:color="auto" w:fill="auto"/>
            <w:noWrap/>
            <w:vAlign w:val="center"/>
            <w:hideMark/>
          </w:tcPr>
          <w:p w14:paraId="68098D15" w14:textId="77777777" w:rsidR="004711B4" w:rsidRPr="00292EED" w:rsidRDefault="004711B4" w:rsidP="003D51C0">
            <w:pPr>
              <w:spacing w:after="0" w:line="240" w:lineRule="auto"/>
              <w:jc w:val="center"/>
              <w:rPr>
                <w:rFonts w:ascii="Times New Roman" w:eastAsia="Times New Roman" w:hAnsi="Times New Roman" w:cs="Times New Roman"/>
                <w:sz w:val="20"/>
                <w:szCs w:val="20"/>
                <w:lang w:eastAsia="bg-BG"/>
              </w:rPr>
            </w:pPr>
            <w:proofErr w:type="spellStart"/>
            <w:r w:rsidRPr="00292EED">
              <w:rPr>
                <w:rFonts w:ascii="Times New Roman" w:eastAsia="Times New Roman" w:hAnsi="Times New Roman" w:cs="Times New Roman"/>
                <w:sz w:val="20"/>
                <w:szCs w:val="20"/>
                <w:lang w:eastAsia="bg-BG"/>
              </w:rPr>
              <w:t>хил.лв</w:t>
            </w:r>
            <w:proofErr w:type="spellEnd"/>
            <w:r w:rsidRPr="00292EED">
              <w:rPr>
                <w:rFonts w:ascii="Times New Roman" w:eastAsia="Times New Roman" w:hAnsi="Times New Roman" w:cs="Times New Roman"/>
                <w:sz w:val="20"/>
                <w:szCs w:val="20"/>
                <w:lang w:eastAsia="bg-BG"/>
              </w:rPr>
              <w:t>.</w:t>
            </w:r>
          </w:p>
        </w:tc>
        <w:tc>
          <w:tcPr>
            <w:tcW w:w="818" w:type="pct"/>
            <w:shd w:val="clear" w:color="auto" w:fill="auto"/>
            <w:noWrap/>
          </w:tcPr>
          <w:p w14:paraId="452C6289" w14:textId="51205E4E" w:rsidR="004711B4" w:rsidRPr="005066BD" w:rsidRDefault="00F90F8D">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w:t>
            </w:r>
          </w:p>
        </w:tc>
      </w:tr>
      <w:tr w:rsidR="004711B4" w:rsidRPr="0089600F" w14:paraId="2E00B793" w14:textId="77777777" w:rsidTr="00F90F8D">
        <w:trPr>
          <w:trHeight w:val="255"/>
        </w:trPr>
        <w:tc>
          <w:tcPr>
            <w:tcW w:w="372" w:type="pct"/>
            <w:shd w:val="clear" w:color="auto" w:fill="auto"/>
            <w:noWrap/>
            <w:vAlign w:val="bottom"/>
            <w:hideMark/>
          </w:tcPr>
          <w:p w14:paraId="1A53BE93" w14:textId="77777777" w:rsidR="004711B4" w:rsidRPr="00292EED" w:rsidRDefault="004711B4" w:rsidP="003D51C0">
            <w:pPr>
              <w:spacing w:after="0" w:line="240" w:lineRule="auto"/>
              <w:jc w:val="center"/>
              <w:rPr>
                <w:rFonts w:ascii="Times New Roman" w:eastAsia="Times New Roman" w:hAnsi="Times New Roman" w:cs="Times New Roman"/>
                <w:sz w:val="20"/>
                <w:szCs w:val="20"/>
                <w:lang w:eastAsia="bg-BG"/>
              </w:rPr>
            </w:pPr>
            <w:r w:rsidRPr="00292EED">
              <w:rPr>
                <w:rFonts w:ascii="Times New Roman" w:eastAsia="Times New Roman" w:hAnsi="Times New Roman" w:cs="Times New Roman"/>
                <w:sz w:val="20"/>
                <w:szCs w:val="20"/>
                <w:lang w:eastAsia="bg-BG"/>
              </w:rPr>
              <w:t>5</w:t>
            </w:r>
          </w:p>
        </w:tc>
        <w:tc>
          <w:tcPr>
            <w:tcW w:w="3173" w:type="pct"/>
            <w:shd w:val="clear" w:color="auto" w:fill="auto"/>
            <w:noWrap/>
            <w:vAlign w:val="center"/>
            <w:hideMark/>
          </w:tcPr>
          <w:p w14:paraId="19C2CB12" w14:textId="77777777" w:rsidR="004711B4" w:rsidRPr="00292EED" w:rsidRDefault="004711B4" w:rsidP="003D51C0">
            <w:pPr>
              <w:spacing w:after="0" w:line="240" w:lineRule="auto"/>
              <w:rPr>
                <w:rFonts w:ascii="Times New Roman" w:eastAsia="Times New Roman" w:hAnsi="Times New Roman" w:cs="Times New Roman"/>
                <w:sz w:val="20"/>
                <w:szCs w:val="20"/>
                <w:lang w:eastAsia="bg-BG"/>
              </w:rPr>
            </w:pPr>
            <w:r w:rsidRPr="00292EED">
              <w:rPr>
                <w:rFonts w:ascii="Times New Roman" w:eastAsia="Times New Roman" w:hAnsi="Times New Roman" w:cs="Times New Roman"/>
                <w:sz w:val="20"/>
                <w:szCs w:val="20"/>
                <w:lang w:eastAsia="bg-BG"/>
              </w:rPr>
              <w:t>ВЪЗВРЪЩАЕМОСТ</w:t>
            </w:r>
          </w:p>
        </w:tc>
        <w:tc>
          <w:tcPr>
            <w:tcW w:w="637" w:type="pct"/>
            <w:shd w:val="clear" w:color="auto" w:fill="auto"/>
            <w:noWrap/>
            <w:vAlign w:val="center"/>
            <w:hideMark/>
          </w:tcPr>
          <w:p w14:paraId="60F537D2" w14:textId="77777777" w:rsidR="004711B4" w:rsidRPr="00292EED" w:rsidRDefault="004711B4" w:rsidP="003D51C0">
            <w:pPr>
              <w:spacing w:after="0" w:line="240" w:lineRule="auto"/>
              <w:jc w:val="center"/>
              <w:rPr>
                <w:rFonts w:ascii="Times New Roman" w:eastAsia="Times New Roman" w:hAnsi="Times New Roman" w:cs="Times New Roman"/>
                <w:sz w:val="20"/>
                <w:szCs w:val="20"/>
                <w:lang w:eastAsia="bg-BG"/>
              </w:rPr>
            </w:pPr>
            <w:proofErr w:type="spellStart"/>
            <w:r w:rsidRPr="00292EED">
              <w:rPr>
                <w:rFonts w:ascii="Times New Roman" w:eastAsia="Times New Roman" w:hAnsi="Times New Roman" w:cs="Times New Roman"/>
                <w:sz w:val="20"/>
                <w:szCs w:val="20"/>
                <w:lang w:eastAsia="bg-BG"/>
              </w:rPr>
              <w:t>хил.лв</w:t>
            </w:r>
            <w:proofErr w:type="spellEnd"/>
            <w:r w:rsidRPr="00292EED">
              <w:rPr>
                <w:rFonts w:ascii="Times New Roman" w:eastAsia="Times New Roman" w:hAnsi="Times New Roman" w:cs="Times New Roman"/>
                <w:sz w:val="20"/>
                <w:szCs w:val="20"/>
                <w:lang w:eastAsia="bg-BG"/>
              </w:rPr>
              <w:t>.</w:t>
            </w:r>
          </w:p>
        </w:tc>
        <w:tc>
          <w:tcPr>
            <w:tcW w:w="818" w:type="pct"/>
            <w:shd w:val="clear" w:color="auto" w:fill="auto"/>
            <w:noWrap/>
          </w:tcPr>
          <w:p w14:paraId="43A86392" w14:textId="61CEB39F" w:rsidR="004711B4" w:rsidRPr="005066BD" w:rsidRDefault="00F90F8D">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w:t>
            </w:r>
          </w:p>
        </w:tc>
      </w:tr>
      <w:tr w:rsidR="004711B4" w:rsidRPr="0089600F" w14:paraId="7DC59328" w14:textId="77777777" w:rsidTr="00F90F8D">
        <w:trPr>
          <w:trHeight w:val="255"/>
        </w:trPr>
        <w:tc>
          <w:tcPr>
            <w:tcW w:w="372" w:type="pct"/>
            <w:shd w:val="clear" w:color="auto" w:fill="auto"/>
            <w:noWrap/>
            <w:vAlign w:val="bottom"/>
            <w:hideMark/>
          </w:tcPr>
          <w:p w14:paraId="6C8F4C94" w14:textId="77777777" w:rsidR="004711B4" w:rsidRPr="00292EED" w:rsidRDefault="004711B4" w:rsidP="003D51C0">
            <w:pPr>
              <w:spacing w:after="0" w:line="240" w:lineRule="auto"/>
              <w:jc w:val="center"/>
              <w:rPr>
                <w:rFonts w:ascii="Times New Roman" w:eastAsia="Times New Roman" w:hAnsi="Times New Roman" w:cs="Times New Roman"/>
                <w:sz w:val="20"/>
                <w:szCs w:val="20"/>
                <w:lang w:eastAsia="bg-BG"/>
              </w:rPr>
            </w:pPr>
            <w:r w:rsidRPr="00292EED">
              <w:rPr>
                <w:rFonts w:ascii="Times New Roman" w:eastAsia="Times New Roman" w:hAnsi="Times New Roman" w:cs="Times New Roman"/>
                <w:sz w:val="20"/>
                <w:szCs w:val="20"/>
                <w:lang w:eastAsia="bg-BG"/>
              </w:rPr>
              <w:t>6</w:t>
            </w:r>
          </w:p>
        </w:tc>
        <w:tc>
          <w:tcPr>
            <w:tcW w:w="3173" w:type="pct"/>
            <w:shd w:val="clear" w:color="auto" w:fill="auto"/>
            <w:noWrap/>
            <w:vAlign w:val="center"/>
            <w:hideMark/>
          </w:tcPr>
          <w:p w14:paraId="5079C339" w14:textId="77777777" w:rsidR="004711B4" w:rsidRPr="00292EED" w:rsidRDefault="004711B4" w:rsidP="003D51C0">
            <w:pPr>
              <w:spacing w:after="0" w:line="240" w:lineRule="auto"/>
              <w:rPr>
                <w:rFonts w:ascii="Times New Roman" w:eastAsia="Times New Roman" w:hAnsi="Times New Roman" w:cs="Times New Roman"/>
                <w:sz w:val="20"/>
                <w:szCs w:val="20"/>
                <w:lang w:eastAsia="bg-BG"/>
              </w:rPr>
            </w:pPr>
            <w:r w:rsidRPr="00292EED">
              <w:rPr>
                <w:rFonts w:ascii="Times New Roman" w:eastAsia="Times New Roman" w:hAnsi="Times New Roman" w:cs="Times New Roman"/>
                <w:sz w:val="20"/>
                <w:szCs w:val="20"/>
                <w:lang w:eastAsia="bg-BG"/>
              </w:rPr>
              <w:t>НЕОБХОДИМИ ПРИХОДИ ЗА РАЗПОЛАГАЕМОСТ</w:t>
            </w:r>
          </w:p>
        </w:tc>
        <w:tc>
          <w:tcPr>
            <w:tcW w:w="637" w:type="pct"/>
            <w:shd w:val="clear" w:color="auto" w:fill="auto"/>
            <w:noWrap/>
            <w:vAlign w:val="center"/>
            <w:hideMark/>
          </w:tcPr>
          <w:p w14:paraId="6A434C7A" w14:textId="77777777" w:rsidR="004711B4" w:rsidRPr="00292EED" w:rsidRDefault="004711B4" w:rsidP="003D51C0">
            <w:pPr>
              <w:spacing w:after="0" w:line="240" w:lineRule="auto"/>
              <w:jc w:val="center"/>
              <w:rPr>
                <w:rFonts w:ascii="Times New Roman" w:eastAsia="Times New Roman" w:hAnsi="Times New Roman" w:cs="Times New Roman"/>
                <w:sz w:val="20"/>
                <w:szCs w:val="20"/>
                <w:lang w:eastAsia="bg-BG"/>
              </w:rPr>
            </w:pPr>
            <w:proofErr w:type="spellStart"/>
            <w:r w:rsidRPr="00292EED">
              <w:rPr>
                <w:rFonts w:ascii="Times New Roman" w:eastAsia="Times New Roman" w:hAnsi="Times New Roman" w:cs="Times New Roman"/>
                <w:sz w:val="20"/>
                <w:szCs w:val="20"/>
                <w:lang w:eastAsia="bg-BG"/>
              </w:rPr>
              <w:t>хил.лв</w:t>
            </w:r>
            <w:proofErr w:type="spellEnd"/>
            <w:r w:rsidRPr="00292EED">
              <w:rPr>
                <w:rFonts w:ascii="Times New Roman" w:eastAsia="Times New Roman" w:hAnsi="Times New Roman" w:cs="Times New Roman"/>
                <w:sz w:val="20"/>
                <w:szCs w:val="20"/>
                <w:lang w:eastAsia="bg-BG"/>
              </w:rPr>
              <w:t>.</w:t>
            </w:r>
          </w:p>
        </w:tc>
        <w:tc>
          <w:tcPr>
            <w:tcW w:w="818" w:type="pct"/>
            <w:shd w:val="clear" w:color="auto" w:fill="auto"/>
            <w:noWrap/>
          </w:tcPr>
          <w:p w14:paraId="6B322515" w14:textId="51CDBA12" w:rsidR="004711B4" w:rsidRPr="005066BD" w:rsidRDefault="00F90F8D">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w:t>
            </w:r>
          </w:p>
        </w:tc>
      </w:tr>
      <w:tr w:rsidR="004711B4" w:rsidRPr="0089600F" w14:paraId="1FC968AA" w14:textId="77777777" w:rsidTr="00F90F8D">
        <w:trPr>
          <w:trHeight w:val="255"/>
        </w:trPr>
        <w:tc>
          <w:tcPr>
            <w:tcW w:w="372" w:type="pct"/>
            <w:shd w:val="clear" w:color="auto" w:fill="auto"/>
            <w:noWrap/>
            <w:vAlign w:val="bottom"/>
            <w:hideMark/>
          </w:tcPr>
          <w:p w14:paraId="1FAB618A" w14:textId="77777777" w:rsidR="004711B4" w:rsidRPr="00292EED" w:rsidRDefault="004711B4" w:rsidP="003D51C0">
            <w:pPr>
              <w:spacing w:after="0" w:line="240" w:lineRule="auto"/>
              <w:jc w:val="center"/>
              <w:rPr>
                <w:rFonts w:ascii="Times New Roman" w:eastAsia="Times New Roman" w:hAnsi="Times New Roman" w:cs="Times New Roman"/>
                <w:sz w:val="20"/>
                <w:szCs w:val="20"/>
                <w:lang w:eastAsia="bg-BG"/>
              </w:rPr>
            </w:pPr>
            <w:r w:rsidRPr="00292EED">
              <w:rPr>
                <w:rFonts w:ascii="Times New Roman" w:eastAsia="Times New Roman" w:hAnsi="Times New Roman" w:cs="Times New Roman"/>
                <w:sz w:val="20"/>
                <w:szCs w:val="20"/>
                <w:lang w:eastAsia="bg-BG"/>
              </w:rPr>
              <w:t>7</w:t>
            </w:r>
          </w:p>
        </w:tc>
        <w:tc>
          <w:tcPr>
            <w:tcW w:w="3173" w:type="pct"/>
            <w:shd w:val="clear" w:color="auto" w:fill="auto"/>
            <w:noWrap/>
            <w:vAlign w:val="center"/>
            <w:hideMark/>
          </w:tcPr>
          <w:p w14:paraId="0CC9B64A" w14:textId="77777777" w:rsidR="004711B4" w:rsidRPr="00292EED" w:rsidRDefault="004711B4" w:rsidP="003D51C0">
            <w:pPr>
              <w:spacing w:after="0" w:line="240" w:lineRule="auto"/>
              <w:rPr>
                <w:rFonts w:ascii="Times New Roman" w:eastAsia="Times New Roman" w:hAnsi="Times New Roman" w:cs="Times New Roman"/>
                <w:sz w:val="20"/>
                <w:szCs w:val="20"/>
                <w:lang w:eastAsia="bg-BG"/>
              </w:rPr>
            </w:pPr>
            <w:r w:rsidRPr="00292EED">
              <w:rPr>
                <w:rFonts w:ascii="Times New Roman" w:eastAsia="Times New Roman" w:hAnsi="Times New Roman" w:cs="Times New Roman"/>
                <w:sz w:val="20"/>
                <w:szCs w:val="20"/>
                <w:lang w:eastAsia="bg-BG"/>
              </w:rPr>
              <w:t>НЕОБХОДИМИ ГОДИШНИ ПРИХОДИ</w:t>
            </w:r>
          </w:p>
        </w:tc>
        <w:tc>
          <w:tcPr>
            <w:tcW w:w="637" w:type="pct"/>
            <w:shd w:val="clear" w:color="auto" w:fill="auto"/>
            <w:noWrap/>
            <w:vAlign w:val="center"/>
            <w:hideMark/>
          </w:tcPr>
          <w:p w14:paraId="3162EF7A" w14:textId="77777777" w:rsidR="004711B4" w:rsidRPr="00292EED" w:rsidRDefault="004711B4" w:rsidP="003D51C0">
            <w:pPr>
              <w:spacing w:after="0" w:line="240" w:lineRule="auto"/>
              <w:jc w:val="center"/>
              <w:rPr>
                <w:rFonts w:ascii="Times New Roman" w:eastAsia="Times New Roman" w:hAnsi="Times New Roman" w:cs="Times New Roman"/>
                <w:sz w:val="20"/>
                <w:szCs w:val="20"/>
                <w:lang w:eastAsia="bg-BG"/>
              </w:rPr>
            </w:pPr>
            <w:proofErr w:type="spellStart"/>
            <w:r w:rsidRPr="00292EED">
              <w:rPr>
                <w:rFonts w:ascii="Times New Roman" w:eastAsia="Times New Roman" w:hAnsi="Times New Roman" w:cs="Times New Roman"/>
                <w:sz w:val="20"/>
                <w:szCs w:val="20"/>
                <w:lang w:eastAsia="bg-BG"/>
              </w:rPr>
              <w:t>хил.лв</w:t>
            </w:r>
            <w:proofErr w:type="spellEnd"/>
            <w:r w:rsidRPr="00292EED">
              <w:rPr>
                <w:rFonts w:ascii="Times New Roman" w:eastAsia="Times New Roman" w:hAnsi="Times New Roman" w:cs="Times New Roman"/>
                <w:sz w:val="20"/>
                <w:szCs w:val="20"/>
                <w:lang w:eastAsia="bg-BG"/>
              </w:rPr>
              <w:t>.</w:t>
            </w:r>
          </w:p>
        </w:tc>
        <w:tc>
          <w:tcPr>
            <w:tcW w:w="818" w:type="pct"/>
            <w:shd w:val="clear" w:color="auto" w:fill="auto"/>
            <w:noWrap/>
          </w:tcPr>
          <w:p w14:paraId="36CE34B9" w14:textId="5C68202D" w:rsidR="004711B4" w:rsidRPr="005066BD" w:rsidRDefault="00F90F8D">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w:t>
            </w:r>
          </w:p>
        </w:tc>
      </w:tr>
      <w:tr w:rsidR="00F90F8D" w:rsidRPr="0089600F" w14:paraId="10E54AC4" w14:textId="77777777" w:rsidTr="00F90F8D">
        <w:trPr>
          <w:trHeight w:val="255"/>
        </w:trPr>
        <w:tc>
          <w:tcPr>
            <w:tcW w:w="372" w:type="pct"/>
            <w:shd w:val="clear" w:color="auto" w:fill="auto"/>
            <w:noWrap/>
            <w:vAlign w:val="bottom"/>
            <w:hideMark/>
          </w:tcPr>
          <w:p w14:paraId="0CC0F1DD" w14:textId="77777777" w:rsidR="00F90F8D" w:rsidRPr="00292EED" w:rsidRDefault="00F90F8D" w:rsidP="00F90F8D">
            <w:pPr>
              <w:spacing w:after="0" w:line="240" w:lineRule="auto"/>
              <w:jc w:val="center"/>
              <w:rPr>
                <w:rFonts w:ascii="Times New Roman" w:eastAsia="Times New Roman" w:hAnsi="Times New Roman" w:cs="Times New Roman"/>
                <w:sz w:val="20"/>
                <w:szCs w:val="20"/>
                <w:lang w:eastAsia="bg-BG"/>
              </w:rPr>
            </w:pPr>
            <w:r w:rsidRPr="00292EED">
              <w:rPr>
                <w:rFonts w:ascii="Times New Roman" w:eastAsia="Times New Roman" w:hAnsi="Times New Roman" w:cs="Times New Roman"/>
                <w:sz w:val="20"/>
                <w:szCs w:val="20"/>
                <w:lang w:eastAsia="bg-BG"/>
              </w:rPr>
              <w:lastRenderedPageBreak/>
              <w:t>8</w:t>
            </w:r>
          </w:p>
        </w:tc>
        <w:tc>
          <w:tcPr>
            <w:tcW w:w="3173" w:type="pct"/>
            <w:shd w:val="clear" w:color="auto" w:fill="auto"/>
            <w:noWrap/>
            <w:vAlign w:val="center"/>
            <w:hideMark/>
          </w:tcPr>
          <w:p w14:paraId="610B7649" w14:textId="77777777" w:rsidR="00F90F8D" w:rsidRPr="00292EED" w:rsidRDefault="00F90F8D" w:rsidP="00F90F8D">
            <w:pPr>
              <w:spacing w:after="0" w:line="240" w:lineRule="auto"/>
              <w:rPr>
                <w:rFonts w:ascii="Times New Roman" w:eastAsia="Times New Roman" w:hAnsi="Times New Roman" w:cs="Times New Roman"/>
                <w:b/>
                <w:bCs/>
                <w:sz w:val="20"/>
                <w:szCs w:val="20"/>
                <w:lang w:eastAsia="bg-BG"/>
              </w:rPr>
            </w:pPr>
            <w:r w:rsidRPr="00292EED">
              <w:rPr>
                <w:rFonts w:ascii="Times New Roman" w:eastAsia="Times New Roman" w:hAnsi="Times New Roman" w:cs="Times New Roman"/>
                <w:b/>
                <w:bCs/>
                <w:sz w:val="20"/>
                <w:szCs w:val="20"/>
                <w:lang w:eastAsia="bg-BG"/>
              </w:rPr>
              <w:t>ЦЕНА ЗА МОЩНОСТ</w:t>
            </w:r>
          </w:p>
        </w:tc>
        <w:tc>
          <w:tcPr>
            <w:tcW w:w="637" w:type="pct"/>
            <w:shd w:val="clear" w:color="auto" w:fill="auto"/>
            <w:noWrap/>
            <w:vAlign w:val="center"/>
            <w:hideMark/>
          </w:tcPr>
          <w:p w14:paraId="0FC5C7E8" w14:textId="77777777" w:rsidR="00F90F8D" w:rsidRPr="00292EED" w:rsidRDefault="00F90F8D" w:rsidP="00F90F8D">
            <w:pPr>
              <w:spacing w:after="0" w:line="240" w:lineRule="auto"/>
              <w:jc w:val="center"/>
              <w:rPr>
                <w:rFonts w:ascii="Times New Roman" w:eastAsia="Times New Roman" w:hAnsi="Times New Roman" w:cs="Times New Roman"/>
                <w:sz w:val="20"/>
                <w:szCs w:val="20"/>
                <w:lang w:eastAsia="bg-BG"/>
              </w:rPr>
            </w:pPr>
            <w:r w:rsidRPr="00292EED">
              <w:rPr>
                <w:rFonts w:ascii="Times New Roman" w:eastAsia="Times New Roman" w:hAnsi="Times New Roman" w:cs="Times New Roman"/>
                <w:sz w:val="20"/>
                <w:szCs w:val="20"/>
                <w:lang w:eastAsia="bg-BG"/>
              </w:rPr>
              <w:t xml:space="preserve"> лв./</w:t>
            </w:r>
            <w:proofErr w:type="spellStart"/>
            <w:r w:rsidRPr="00292EED">
              <w:rPr>
                <w:rFonts w:ascii="Times New Roman" w:eastAsia="Times New Roman" w:hAnsi="Times New Roman" w:cs="Times New Roman"/>
                <w:sz w:val="20"/>
                <w:szCs w:val="20"/>
                <w:lang w:eastAsia="bg-BG"/>
              </w:rPr>
              <w:t>МВтч</w:t>
            </w:r>
            <w:proofErr w:type="spellEnd"/>
          </w:p>
        </w:tc>
        <w:tc>
          <w:tcPr>
            <w:tcW w:w="818" w:type="pct"/>
            <w:shd w:val="clear" w:color="auto" w:fill="auto"/>
            <w:noWrap/>
          </w:tcPr>
          <w:p w14:paraId="67C1CD13" w14:textId="7731C096" w:rsidR="00F90F8D" w:rsidRPr="005066BD" w:rsidRDefault="00F90F8D" w:rsidP="00F90F8D">
            <w:pPr>
              <w:spacing w:after="0" w:line="240" w:lineRule="auto"/>
              <w:jc w:val="center"/>
              <w:rPr>
                <w:rFonts w:ascii="Times New Roman" w:eastAsia="Times New Roman" w:hAnsi="Times New Roman" w:cs="Times New Roman"/>
                <w:b/>
                <w:bCs/>
                <w:sz w:val="20"/>
                <w:szCs w:val="20"/>
                <w:lang w:eastAsia="bg-BG"/>
              </w:rPr>
            </w:pPr>
            <w:r>
              <w:rPr>
                <w:rFonts w:ascii="Times New Roman" w:eastAsia="Times New Roman" w:hAnsi="Times New Roman" w:cs="Times New Roman"/>
                <w:sz w:val="20"/>
                <w:szCs w:val="20"/>
                <w:lang w:eastAsia="bg-BG"/>
              </w:rPr>
              <w:t>………………</w:t>
            </w:r>
          </w:p>
        </w:tc>
      </w:tr>
      <w:tr w:rsidR="00F90F8D" w:rsidRPr="0089600F" w14:paraId="0F93217A" w14:textId="77777777" w:rsidTr="00F90F8D">
        <w:trPr>
          <w:trHeight w:val="255"/>
        </w:trPr>
        <w:tc>
          <w:tcPr>
            <w:tcW w:w="372" w:type="pct"/>
            <w:shd w:val="clear" w:color="auto" w:fill="auto"/>
            <w:noWrap/>
            <w:vAlign w:val="bottom"/>
            <w:hideMark/>
          </w:tcPr>
          <w:p w14:paraId="4771F427" w14:textId="77777777" w:rsidR="00F90F8D" w:rsidRPr="00292EED" w:rsidRDefault="00F90F8D" w:rsidP="00F90F8D">
            <w:pPr>
              <w:spacing w:after="0" w:line="240" w:lineRule="auto"/>
              <w:jc w:val="center"/>
              <w:rPr>
                <w:rFonts w:ascii="Times New Roman" w:eastAsia="Times New Roman" w:hAnsi="Times New Roman" w:cs="Times New Roman"/>
                <w:sz w:val="20"/>
                <w:szCs w:val="20"/>
                <w:lang w:eastAsia="bg-BG"/>
              </w:rPr>
            </w:pPr>
            <w:r w:rsidRPr="00292EED">
              <w:rPr>
                <w:rFonts w:ascii="Times New Roman" w:eastAsia="Times New Roman" w:hAnsi="Times New Roman" w:cs="Times New Roman"/>
                <w:sz w:val="20"/>
                <w:szCs w:val="20"/>
                <w:lang w:eastAsia="bg-BG"/>
              </w:rPr>
              <w:t>9</w:t>
            </w:r>
          </w:p>
        </w:tc>
        <w:tc>
          <w:tcPr>
            <w:tcW w:w="3173" w:type="pct"/>
            <w:shd w:val="clear" w:color="auto" w:fill="auto"/>
            <w:noWrap/>
            <w:vAlign w:val="center"/>
            <w:hideMark/>
          </w:tcPr>
          <w:p w14:paraId="79B069C9" w14:textId="77777777" w:rsidR="00F90F8D" w:rsidRPr="00292EED" w:rsidRDefault="00F90F8D" w:rsidP="00F90F8D">
            <w:pPr>
              <w:spacing w:after="0" w:line="240" w:lineRule="auto"/>
              <w:rPr>
                <w:rFonts w:ascii="Times New Roman" w:eastAsia="Times New Roman" w:hAnsi="Times New Roman" w:cs="Times New Roman"/>
                <w:b/>
                <w:bCs/>
                <w:sz w:val="20"/>
                <w:szCs w:val="20"/>
                <w:lang w:eastAsia="bg-BG"/>
              </w:rPr>
            </w:pPr>
            <w:r w:rsidRPr="00292EED">
              <w:rPr>
                <w:rFonts w:ascii="Times New Roman" w:eastAsia="Times New Roman" w:hAnsi="Times New Roman" w:cs="Times New Roman"/>
                <w:b/>
                <w:bCs/>
                <w:sz w:val="20"/>
                <w:szCs w:val="20"/>
                <w:lang w:eastAsia="bg-BG"/>
              </w:rPr>
              <w:t>ЦЕНА ЗА ЕНЕРГИЯ</w:t>
            </w:r>
          </w:p>
        </w:tc>
        <w:tc>
          <w:tcPr>
            <w:tcW w:w="637" w:type="pct"/>
            <w:shd w:val="clear" w:color="auto" w:fill="auto"/>
            <w:noWrap/>
            <w:vAlign w:val="center"/>
            <w:hideMark/>
          </w:tcPr>
          <w:p w14:paraId="7FD73A41" w14:textId="77777777" w:rsidR="00F90F8D" w:rsidRPr="00292EED" w:rsidRDefault="00F90F8D" w:rsidP="00F90F8D">
            <w:pPr>
              <w:spacing w:after="0" w:line="240" w:lineRule="auto"/>
              <w:jc w:val="center"/>
              <w:rPr>
                <w:rFonts w:ascii="Times New Roman" w:eastAsia="Times New Roman" w:hAnsi="Times New Roman" w:cs="Times New Roman"/>
                <w:sz w:val="20"/>
                <w:szCs w:val="20"/>
                <w:lang w:eastAsia="bg-BG"/>
              </w:rPr>
            </w:pPr>
            <w:r w:rsidRPr="00292EED">
              <w:rPr>
                <w:rFonts w:ascii="Times New Roman" w:eastAsia="Times New Roman" w:hAnsi="Times New Roman" w:cs="Times New Roman"/>
                <w:sz w:val="20"/>
                <w:szCs w:val="20"/>
                <w:lang w:eastAsia="bg-BG"/>
              </w:rPr>
              <w:t xml:space="preserve"> лв./</w:t>
            </w:r>
            <w:proofErr w:type="spellStart"/>
            <w:r w:rsidRPr="00292EED">
              <w:rPr>
                <w:rFonts w:ascii="Times New Roman" w:eastAsia="Times New Roman" w:hAnsi="Times New Roman" w:cs="Times New Roman"/>
                <w:sz w:val="20"/>
                <w:szCs w:val="20"/>
                <w:lang w:eastAsia="bg-BG"/>
              </w:rPr>
              <w:t>МВтч</w:t>
            </w:r>
            <w:proofErr w:type="spellEnd"/>
          </w:p>
        </w:tc>
        <w:tc>
          <w:tcPr>
            <w:tcW w:w="818" w:type="pct"/>
            <w:shd w:val="clear" w:color="auto" w:fill="auto"/>
            <w:noWrap/>
          </w:tcPr>
          <w:p w14:paraId="5C2EEEFC" w14:textId="4AB63320" w:rsidR="00F90F8D" w:rsidRPr="005066BD" w:rsidRDefault="00F90F8D" w:rsidP="00F90F8D">
            <w:pPr>
              <w:spacing w:after="0" w:line="240" w:lineRule="auto"/>
              <w:jc w:val="center"/>
              <w:rPr>
                <w:rFonts w:ascii="Times New Roman" w:eastAsia="Times New Roman" w:hAnsi="Times New Roman" w:cs="Times New Roman"/>
                <w:b/>
                <w:bCs/>
                <w:sz w:val="20"/>
                <w:szCs w:val="20"/>
                <w:lang w:eastAsia="bg-BG"/>
              </w:rPr>
            </w:pPr>
            <w:r>
              <w:rPr>
                <w:rFonts w:ascii="Times New Roman" w:eastAsia="Times New Roman" w:hAnsi="Times New Roman" w:cs="Times New Roman"/>
                <w:sz w:val="20"/>
                <w:szCs w:val="20"/>
                <w:lang w:eastAsia="bg-BG"/>
              </w:rPr>
              <w:t>………………</w:t>
            </w:r>
          </w:p>
        </w:tc>
      </w:tr>
      <w:tr w:rsidR="00F90F8D" w:rsidRPr="0089600F" w14:paraId="0A9C79F4" w14:textId="77777777" w:rsidTr="00F90F8D">
        <w:trPr>
          <w:trHeight w:val="270"/>
        </w:trPr>
        <w:tc>
          <w:tcPr>
            <w:tcW w:w="372" w:type="pct"/>
            <w:shd w:val="clear" w:color="auto" w:fill="auto"/>
            <w:noWrap/>
            <w:vAlign w:val="bottom"/>
            <w:hideMark/>
          </w:tcPr>
          <w:p w14:paraId="1A77F653" w14:textId="77777777" w:rsidR="00F90F8D" w:rsidRPr="00292EED" w:rsidRDefault="00F90F8D" w:rsidP="00F90F8D">
            <w:pPr>
              <w:spacing w:after="0" w:line="240" w:lineRule="auto"/>
              <w:jc w:val="center"/>
              <w:rPr>
                <w:rFonts w:ascii="Times New Roman" w:eastAsia="Times New Roman" w:hAnsi="Times New Roman" w:cs="Times New Roman"/>
                <w:sz w:val="20"/>
                <w:szCs w:val="20"/>
                <w:lang w:eastAsia="bg-BG"/>
              </w:rPr>
            </w:pPr>
            <w:r w:rsidRPr="00292EED">
              <w:rPr>
                <w:rFonts w:ascii="Times New Roman" w:eastAsia="Times New Roman" w:hAnsi="Times New Roman" w:cs="Times New Roman"/>
                <w:sz w:val="20"/>
                <w:szCs w:val="20"/>
                <w:lang w:eastAsia="bg-BG"/>
              </w:rPr>
              <w:t>10</w:t>
            </w:r>
          </w:p>
        </w:tc>
        <w:tc>
          <w:tcPr>
            <w:tcW w:w="3173" w:type="pct"/>
            <w:shd w:val="clear" w:color="auto" w:fill="auto"/>
            <w:noWrap/>
            <w:vAlign w:val="center"/>
            <w:hideMark/>
          </w:tcPr>
          <w:p w14:paraId="0731A00E" w14:textId="77777777" w:rsidR="00F90F8D" w:rsidRPr="00292EED" w:rsidRDefault="00F90F8D" w:rsidP="00F90F8D">
            <w:pPr>
              <w:spacing w:after="0" w:line="240" w:lineRule="auto"/>
              <w:rPr>
                <w:rFonts w:ascii="Times New Roman" w:eastAsia="Times New Roman" w:hAnsi="Times New Roman" w:cs="Times New Roman"/>
                <w:b/>
                <w:bCs/>
                <w:sz w:val="20"/>
                <w:szCs w:val="20"/>
                <w:lang w:eastAsia="bg-BG"/>
              </w:rPr>
            </w:pPr>
            <w:r w:rsidRPr="00292EED">
              <w:rPr>
                <w:rFonts w:ascii="Times New Roman" w:eastAsia="Times New Roman" w:hAnsi="Times New Roman" w:cs="Times New Roman"/>
                <w:b/>
                <w:bCs/>
                <w:sz w:val="20"/>
                <w:szCs w:val="20"/>
                <w:lang w:eastAsia="bg-BG"/>
              </w:rPr>
              <w:t>ПЪЛНА ЦЕНА</w:t>
            </w:r>
          </w:p>
        </w:tc>
        <w:tc>
          <w:tcPr>
            <w:tcW w:w="637" w:type="pct"/>
            <w:shd w:val="clear" w:color="auto" w:fill="auto"/>
            <w:noWrap/>
            <w:vAlign w:val="center"/>
            <w:hideMark/>
          </w:tcPr>
          <w:p w14:paraId="15D5DAA8" w14:textId="77777777" w:rsidR="00F90F8D" w:rsidRPr="00292EED" w:rsidRDefault="00F90F8D" w:rsidP="00F90F8D">
            <w:pPr>
              <w:spacing w:after="0" w:line="240" w:lineRule="auto"/>
              <w:jc w:val="center"/>
              <w:rPr>
                <w:rFonts w:ascii="Times New Roman" w:eastAsia="Times New Roman" w:hAnsi="Times New Roman" w:cs="Times New Roman"/>
                <w:sz w:val="20"/>
                <w:szCs w:val="20"/>
                <w:lang w:eastAsia="bg-BG"/>
              </w:rPr>
            </w:pPr>
            <w:r w:rsidRPr="00292EED">
              <w:rPr>
                <w:rFonts w:ascii="Times New Roman" w:eastAsia="Times New Roman" w:hAnsi="Times New Roman" w:cs="Times New Roman"/>
                <w:sz w:val="20"/>
                <w:szCs w:val="20"/>
                <w:lang w:eastAsia="bg-BG"/>
              </w:rPr>
              <w:t xml:space="preserve"> лв./</w:t>
            </w:r>
            <w:proofErr w:type="spellStart"/>
            <w:r w:rsidRPr="00292EED">
              <w:rPr>
                <w:rFonts w:ascii="Times New Roman" w:eastAsia="Times New Roman" w:hAnsi="Times New Roman" w:cs="Times New Roman"/>
                <w:sz w:val="20"/>
                <w:szCs w:val="20"/>
                <w:lang w:eastAsia="bg-BG"/>
              </w:rPr>
              <w:t>МВтч</w:t>
            </w:r>
            <w:proofErr w:type="spellEnd"/>
          </w:p>
        </w:tc>
        <w:tc>
          <w:tcPr>
            <w:tcW w:w="818" w:type="pct"/>
            <w:shd w:val="clear" w:color="auto" w:fill="auto"/>
            <w:noWrap/>
          </w:tcPr>
          <w:p w14:paraId="4624BE11" w14:textId="4AD43D8C" w:rsidR="00F90F8D" w:rsidRPr="005066BD" w:rsidRDefault="00F90F8D" w:rsidP="00F90F8D">
            <w:pPr>
              <w:spacing w:after="0" w:line="240" w:lineRule="auto"/>
              <w:jc w:val="center"/>
              <w:rPr>
                <w:rFonts w:ascii="Times New Roman" w:eastAsia="Times New Roman" w:hAnsi="Times New Roman" w:cs="Times New Roman"/>
                <w:b/>
                <w:bCs/>
                <w:sz w:val="20"/>
                <w:szCs w:val="20"/>
                <w:lang w:eastAsia="bg-BG"/>
              </w:rPr>
            </w:pPr>
            <w:r>
              <w:rPr>
                <w:rFonts w:ascii="Times New Roman" w:eastAsia="Times New Roman" w:hAnsi="Times New Roman" w:cs="Times New Roman"/>
                <w:sz w:val="20"/>
                <w:szCs w:val="20"/>
                <w:lang w:eastAsia="bg-BG"/>
              </w:rPr>
              <w:t>………………</w:t>
            </w:r>
          </w:p>
        </w:tc>
      </w:tr>
    </w:tbl>
    <w:p w14:paraId="5345A528" w14:textId="126C4672" w:rsidR="00A86DCC" w:rsidRDefault="00A86DCC" w:rsidP="003D51C0">
      <w:pPr>
        <w:spacing w:after="12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fldChar w:fldCharType="end"/>
      </w:r>
    </w:p>
    <w:p w14:paraId="11199B1A" w14:textId="0ECE8FBD" w:rsidR="00DF661A" w:rsidRDefault="00117FFE" w:rsidP="003D51C0">
      <w:pPr>
        <w:spacing w:after="12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В стойността на необходимите годишни приходи </w:t>
      </w:r>
      <w:r w:rsidR="004339FD">
        <w:rPr>
          <w:rFonts w:ascii="Times New Roman" w:eastAsia="Times New Roman" w:hAnsi="Times New Roman" w:cs="Times New Roman"/>
          <w:sz w:val="24"/>
          <w:szCs w:val="24"/>
          <w:lang w:eastAsia="bg-BG"/>
        </w:rPr>
        <w:t xml:space="preserve">не са включени </w:t>
      </w:r>
      <w:r>
        <w:rPr>
          <w:rFonts w:ascii="Times New Roman" w:eastAsia="Times New Roman" w:hAnsi="Times New Roman" w:cs="Times New Roman"/>
          <w:sz w:val="24"/>
          <w:szCs w:val="24"/>
          <w:lang w:eastAsia="bg-BG"/>
        </w:rPr>
        <w:t xml:space="preserve">разходи за </w:t>
      </w:r>
      <w:r w:rsidR="00DF661A">
        <w:rPr>
          <w:rFonts w:ascii="Times New Roman" w:eastAsia="Times New Roman" w:hAnsi="Times New Roman" w:cs="Times New Roman"/>
          <w:sz w:val="24"/>
          <w:szCs w:val="24"/>
          <w:lang w:eastAsia="bg-BG"/>
        </w:rPr>
        <w:t xml:space="preserve">такси към </w:t>
      </w:r>
      <w:r>
        <w:rPr>
          <w:rFonts w:ascii="Times New Roman" w:eastAsia="Times New Roman" w:hAnsi="Times New Roman" w:cs="Times New Roman"/>
          <w:sz w:val="24"/>
          <w:szCs w:val="24"/>
          <w:lang w:eastAsia="bg-BG"/>
        </w:rPr>
        <w:t xml:space="preserve">ФСЕЕС, </w:t>
      </w:r>
      <w:r w:rsidR="00745AB4">
        <w:rPr>
          <w:rFonts w:ascii="Times New Roman" w:eastAsia="Times New Roman" w:hAnsi="Times New Roman" w:cs="Times New Roman"/>
          <w:sz w:val="24"/>
          <w:szCs w:val="24"/>
          <w:lang w:eastAsia="bg-BG"/>
        </w:rPr>
        <w:t xml:space="preserve">разходи за балансираща енергия, </w:t>
      </w:r>
      <w:r>
        <w:rPr>
          <w:rFonts w:ascii="Times New Roman" w:eastAsia="Times New Roman" w:hAnsi="Times New Roman" w:cs="Times New Roman"/>
          <w:sz w:val="24"/>
          <w:szCs w:val="24"/>
          <w:lang w:eastAsia="bg-BG"/>
        </w:rPr>
        <w:t>разходи свързани с „цена за достъп до електропреносната мрежа</w:t>
      </w:r>
      <w:r w:rsidR="00DF661A">
        <w:rPr>
          <w:rFonts w:ascii="Times New Roman" w:eastAsia="Times New Roman" w:hAnsi="Times New Roman" w:cs="Times New Roman"/>
          <w:sz w:val="24"/>
          <w:szCs w:val="24"/>
          <w:lang w:eastAsia="bg-BG"/>
        </w:rPr>
        <w:t xml:space="preserve"> за производители</w:t>
      </w:r>
      <w:r>
        <w:rPr>
          <w:rFonts w:ascii="Times New Roman" w:eastAsia="Times New Roman" w:hAnsi="Times New Roman" w:cs="Times New Roman"/>
          <w:sz w:val="24"/>
          <w:szCs w:val="24"/>
          <w:lang w:eastAsia="bg-BG"/>
        </w:rPr>
        <w:t>“</w:t>
      </w:r>
      <w:r w:rsidR="00B919F6">
        <w:rPr>
          <w:rFonts w:ascii="Times New Roman" w:eastAsia="Times New Roman" w:hAnsi="Times New Roman" w:cs="Times New Roman"/>
          <w:sz w:val="24"/>
          <w:szCs w:val="24"/>
          <w:lang w:eastAsia="bg-BG"/>
        </w:rPr>
        <w:t>, както и всички други разходи, които не се признават от КЕВР на основание чл</w:t>
      </w:r>
      <w:r w:rsidR="00E20711">
        <w:rPr>
          <w:rFonts w:ascii="Times New Roman" w:eastAsia="Times New Roman" w:hAnsi="Times New Roman" w:cs="Times New Roman"/>
          <w:sz w:val="24"/>
          <w:szCs w:val="24"/>
          <w:lang w:eastAsia="bg-BG"/>
        </w:rPr>
        <w:t xml:space="preserve">. </w:t>
      </w:r>
      <w:r w:rsidR="00417ACD">
        <w:rPr>
          <w:rFonts w:ascii="Times New Roman" w:eastAsia="Times New Roman" w:hAnsi="Times New Roman" w:cs="Times New Roman"/>
          <w:sz w:val="24"/>
          <w:szCs w:val="24"/>
          <w:lang w:eastAsia="bg-BG"/>
        </w:rPr>
        <w:t>11, ал.</w:t>
      </w:r>
      <w:r w:rsidR="00E20711">
        <w:rPr>
          <w:rFonts w:ascii="Times New Roman" w:eastAsia="Times New Roman" w:hAnsi="Times New Roman" w:cs="Times New Roman"/>
          <w:sz w:val="24"/>
          <w:szCs w:val="24"/>
          <w:lang w:eastAsia="bg-BG"/>
        </w:rPr>
        <w:t xml:space="preserve"> </w:t>
      </w:r>
      <w:r w:rsidR="00417ACD">
        <w:rPr>
          <w:rFonts w:ascii="Times New Roman" w:eastAsia="Times New Roman" w:hAnsi="Times New Roman" w:cs="Times New Roman"/>
          <w:sz w:val="24"/>
          <w:szCs w:val="24"/>
          <w:lang w:eastAsia="bg-BG"/>
        </w:rPr>
        <w:t>2</w:t>
      </w:r>
      <w:r w:rsidR="00B919F6">
        <w:rPr>
          <w:rFonts w:ascii="Times New Roman" w:eastAsia="Times New Roman" w:hAnsi="Times New Roman" w:cs="Times New Roman"/>
          <w:sz w:val="24"/>
          <w:szCs w:val="24"/>
          <w:lang w:eastAsia="bg-BG"/>
        </w:rPr>
        <w:t xml:space="preserve"> от НРЦЕЕ/ЗЕ</w:t>
      </w:r>
      <w:r>
        <w:rPr>
          <w:rFonts w:ascii="Times New Roman" w:eastAsia="Times New Roman" w:hAnsi="Times New Roman" w:cs="Times New Roman"/>
          <w:sz w:val="24"/>
          <w:szCs w:val="24"/>
          <w:lang w:eastAsia="bg-BG"/>
        </w:rPr>
        <w:t>.</w:t>
      </w:r>
      <w:r w:rsidR="004339FD">
        <w:rPr>
          <w:rFonts w:ascii="Times New Roman" w:eastAsia="Times New Roman" w:hAnsi="Times New Roman" w:cs="Times New Roman"/>
          <w:sz w:val="24"/>
          <w:szCs w:val="24"/>
          <w:lang w:eastAsia="bg-BG"/>
        </w:rPr>
        <w:t xml:space="preserve"> </w:t>
      </w:r>
    </w:p>
    <w:p w14:paraId="436DBE3F" w14:textId="1B09006F" w:rsidR="00117FFE" w:rsidRDefault="00117FFE" w:rsidP="003D51C0">
      <w:pPr>
        <w:tabs>
          <w:tab w:val="num" w:pos="520"/>
        </w:tabs>
        <w:suppressAutoHyphens/>
        <w:spacing w:after="120" w:line="240" w:lineRule="auto"/>
        <w:jc w:val="both"/>
        <w:rPr>
          <w:rFonts w:ascii="Times New Roman" w:eastAsia="Times New Roman" w:hAnsi="Times New Roman" w:cs="Times New Roman"/>
          <w:sz w:val="24"/>
          <w:szCs w:val="24"/>
          <w:lang w:eastAsia="bg-BG"/>
        </w:rPr>
      </w:pPr>
      <w:r w:rsidRPr="00117FFE">
        <w:rPr>
          <w:rFonts w:ascii="Times New Roman" w:eastAsia="Times New Roman" w:hAnsi="Times New Roman" w:cs="Times New Roman"/>
          <w:sz w:val="24"/>
          <w:szCs w:val="24"/>
          <w:lang w:eastAsia="bg-BG"/>
        </w:rPr>
        <w:t xml:space="preserve">През новия ценови период, производствената програма на „ТЕЦ Марица изток“ ЕАД е разработена при спазване на нормативните изисквания за осигуряване на необходимото време за извършване на текущи планови ремонти. </w:t>
      </w:r>
    </w:p>
    <w:p w14:paraId="77635B9F" w14:textId="672D7B27" w:rsidR="00117FFE" w:rsidRDefault="00117FFE" w:rsidP="00B57AFB">
      <w:pPr>
        <w:pStyle w:val="ListParagraph"/>
        <w:numPr>
          <w:ilvl w:val="0"/>
          <w:numId w:val="23"/>
        </w:numPr>
        <w:spacing w:line="240" w:lineRule="auto"/>
        <w:rPr>
          <w:rFonts w:ascii="Times New Roman" w:hAnsi="Times New Roman" w:cs="Times New Roman"/>
          <w:b/>
          <w:sz w:val="24"/>
          <w:szCs w:val="24"/>
          <w:lang w:eastAsia="bg-BG"/>
        </w:rPr>
      </w:pPr>
      <w:r w:rsidRPr="00A8412F">
        <w:rPr>
          <w:rFonts w:ascii="Times New Roman" w:hAnsi="Times New Roman" w:cs="Times New Roman"/>
          <w:b/>
          <w:sz w:val="24"/>
          <w:szCs w:val="24"/>
          <w:lang w:eastAsia="bg-BG"/>
        </w:rPr>
        <w:t>Променливи разходи – основно гориво, горива за разпалване и поддържане, варовик за СОИ и квоти за емисии парникови газове, включени в цената за енергия</w:t>
      </w:r>
      <w:r w:rsidR="00A8412F" w:rsidRPr="00A8412F">
        <w:rPr>
          <w:rFonts w:ascii="Times New Roman" w:hAnsi="Times New Roman" w:cs="Times New Roman"/>
          <w:b/>
          <w:sz w:val="24"/>
          <w:szCs w:val="24"/>
          <w:lang w:eastAsia="bg-BG"/>
        </w:rPr>
        <w:t>.</w:t>
      </w:r>
    </w:p>
    <w:p w14:paraId="50B296E8" w14:textId="0B097193" w:rsidR="005066BD" w:rsidRDefault="005066BD" w:rsidP="00B57AFB">
      <w:pPr>
        <w:pStyle w:val="ListParagraph"/>
        <w:spacing w:line="240" w:lineRule="auto"/>
      </w:pPr>
      <w:r>
        <w:rPr>
          <w:lang w:val="en-US" w:eastAsia="bg-BG"/>
        </w:rPr>
        <w:fldChar w:fldCharType="begin"/>
      </w:r>
      <w:r>
        <w:rPr>
          <w:lang w:val="en-US" w:eastAsia="bg-BG"/>
        </w:rPr>
        <w:instrText xml:space="preserve"> LINK Excel.SheetMacroEnabled.12 "C:\\Users\\User\\Downloads\\Spr_1-5_2025 NRCEE_24.03.2025_ 5300 neto_SG (1).xlsm" "Разходи!R70C1:R91C5" \a \f 4 \h  \* MERGEFORMAT </w:instrText>
      </w:r>
      <w:r>
        <w:rPr>
          <w:lang w:val="en-US" w:eastAsia="bg-BG"/>
        </w:rPr>
        <w:fldChar w:fldCharType="separate"/>
      </w:r>
    </w:p>
    <w:tbl>
      <w:tblPr>
        <w:tblW w:w="8784" w:type="dxa"/>
        <w:tblCellMar>
          <w:left w:w="70" w:type="dxa"/>
          <w:right w:w="70" w:type="dxa"/>
        </w:tblCellMar>
        <w:tblLook w:val="04A0" w:firstRow="1" w:lastRow="0" w:firstColumn="1" w:lastColumn="0" w:noHBand="0" w:noVBand="1"/>
      </w:tblPr>
      <w:tblGrid>
        <w:gridCol w:w="580"/>
        <w:gridCol w:w="4944"/>
        <w:gridCol w:w="850"/>
        <w:gridCol w:w="2410"/>
      </w:tblGrid>
      <w:tr w:rsidR="004914F9" w:rsidRPr="005066BD" w14:paraId="0B56EB28" w14:textId="77777777" w:rsidTr="00B10D33">
        <w:trPr>
          <w:trHeight w:val="24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557C17" w14:textId="4756316A" w:rsidR="004914F9" w:rsidRPr="005066BD" w:rsidRDefault="004914F9" w:rsidP="004914F9">
            <w:pPr>
              <w:spacing w:after="0" w:line="240" w:lineRule="auto"/>
              <w:jc w:val="center"/>
              <w:rPr>
                <w:rFonts w:ascii="Times New Roman" w:eastAsia="Times New Roman" w:hAnsi="Times New Roman" w:cs="Times New Roman"/>
                <w:b/>
                <w:bCs/>
                <w:sz w:val="20"/>
                <w:szCs w:val="20"/>
                <w:lang w:eastAsia="bg-BG"/>
              </w:rPr>
            </w:pPr>
            <w:r w:rsidRPr="005066BD">
              <w:rPr>
                <w:rFonts w:ascii="Times New Roman" w:eastAsia="Times New Roman" w:hAnsi="Times New Roman" w:cs="Times New Roman"/>
                <w:b/>
                <w:bCs/>
                <w:sz w:val="20"/>
                <w:szCs w:val="20"/>
                <w:lang w:eastAsia="bg-BG"/>
              </w:rPr>
              <w:t>ІІ</w:t>
            </w:r>
          </w:p>
        </w:tc>
        <w:tc>
          <w:tcPr>
            <w:tcW w:w="4944" w:type="dxa"/>
            <w:tcBorders>
              <w:top w:val="single" w:sz="4" w:space="0" w:color="auto"/>
              <w:left w:val="nil"/>
              <w:bottom w:val="single" w:sz="4" w:space="0" w:color="auto"/>
              <w:right w:val="single" w:sz="4" w:space="0" w:color="auto"/>
            </w:tcBorders>
            <w:shd w:val="clear" w:color="auto" w:fill="auto"/>
            <w:noWrap/>
            <w:vAlign w:val="bottom"/>
            <w:hideMark/>
          </w:tcPr>
          <w:p w14:paraId="148651D4" w14:textId="77777777" w:rsidR="004914F9" w:rsidRPr="005066BD" w:rsidRDefault="004914F9" w:rsidP="004914F9">
            <w:pPr>
              <w:spacing w:after="0" w:line="240" w:lineRule="auto"/>
              <w:rPr>
                <w:rFonts w:ascii="Times New Roman" w:eastAsia="Times New Roman" w:hAnsi="Times New Roman" w:cs="Times New Roman"/>
                <w:b/>
                <w:bCs/>
                <w:sz w:val="20"/>
                <w:szCs w:val="20"/>
                <w:lang w:eastAsia="bg-BG"/>
              </w:rPr>
            </w:pPr>
            <w:r w:rsidRPr="005066BD">
              <w:rPr>
                <w:rFonts w:ascii="Times New Roman" w:eastAsia="Times New Roman" w:hAnsi="Times New Roman" w:cs="Times New Roman"/>
                <w:b/>
                <w:bCs/>
                <w:sz w:val="20"/>
                <w:szCs w:val="20"/>
                <w:lang w:eastAsia="bg-BG"/>
              </w:rPr>
              <w:t>ПРОМЕНЛИВИ РАЗХОДИ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7FFDF2D3" w14:textId="77777777" w:rsidR="004914F9" w:rsidRPr="005066BD" w:rsidRDefault="004914F9" w:rsidP="004914F9">
            <w:pPr>
              <w:spacing w:after="0" w:line="240" w:lineRule="auto"/>
              <w:jc w:val="center"/>
              <w:rPr>
                <w:rFonts w:ascii="Times New Roman" w:eastAsia="Times New Roman" w:hAnsi="Times New Roman" w:cs="Times New Roman"/>
                <w:b/>
                <w:bCs/>
                <w:sz w:val="20"/>
                <w:szCs w:val="20"/>
                <w:lang w:eastAsia="bg-BG"/>
              </w:rPr>
            </w:pPr>
            <w:r w:rsidRPr="005066BD">
              <w:rPr>
                <w:rFonts w:ascii="Times New Roman" w:eastAsia="Times New Roman" w:hAnsi="Times New Roman" w:cs="Times New Roman"/>
                <w:b/>
                <w:bCs/>
                <w:sz w:val="20"/>
                <w:szCs w:val="20"/>
                <w:lang w:eastAsia="bg-BG"/>
              </w:rPr>
              <w:t>хил. лв.</w:t>
            </w:r>
          </w:p>
        </w:tc>
        <w:tc>
          <w:tcPr>
            <w:tcW w:w="2410" w:type="dxa"/>
            <w:tcBorders>
              <w:top w:val="single" w:sz="4" w:space="0" w:color="auto"/>
              <w:left w:val="nil"/>
              <w:bottom w:val="single" w:sz="4" w:space="0" w:color="auto"/>
              <w:right w:val="single" w:sz="4" w:space="0" w:color="auto"/>
            </w:tcBorders>
            <w:shd w:val="clear" w:color="auto" w:fill="auto"/>
            <w:noWrap/>
          </w:tcPr>
          <w:p w14:paraId="22936358" w14:textId="1A601CF6" w:rsidR="004914F9" w:rsidRPr="005066BD" w:rsidRDefault="004914F9" w:rsidP="004914F9">
            <w:pPr>
              <w:spacing w:after="0" w:line="240" w:lineRule="auto"/>
              <w:jc w:val="center"/>
              <w:rPr>
                <w:rFonts w:ascii="Times New Roman" w:eastAsia="Times New Roman" w:hAnsi="Times New Roman" w:cs="Times New Roman"/>
                <w:b/>
                <w:bCs/>
                <w:sz w:val="20"/>
                <w:szCs w:val="20"/>
                <w:lang w:eastAsia="bg-BG"/>
              </w:rPr>
            </w:pPr>
            <w:r>
              <w:rPr>
                <w:rFonts w:ascii="Times New Roman" w:eastAsia="Times New Roman" w:hAnsi="Times New Roman" w:cs="Times New Roman"/>
                <w:sz w:val="20"/>
                <w:szCs w:val="20"/>
                <w:lang w:eastAsia="bg-BG"/>
              </w:rPr>
              <w:t>………………</w:t>
            </w:r>
          </w:p>
        </w:tc>
      </w:tr>
      <w:tr w:rsidR="004914F9" w:rsidRPr="005066BD" w14:paraId="65185FD2" w14:textId="77777777" w:rsidTr="00B10D33">
        <w:trPr>
          <w:trHeight w:val="2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0881C40" w14:textId="77777777" w:rsidR="004914F9" w:rsidRPr="005066BD" w:rsidRDefault="004914F9" w:rsidP="004914F9">
            <w:pPr>
              <w:spacing w:after="0" w:line="240" w:lineRule="auto"/>
              <w:jc w:val="center"/>
              <w:rPr>
                <w:rFonts w:ascii="Times New Roman" w:eastAsia="Times New Roman" w:hAnsi="Times New Roman" w:cs="Times New Roman"/>
                <w:b/>
                <w:bCs/>
                <w:sz w:val="20"/>
                <w:szCs w:val="20"/>
                <w:lang w:eastAsia="bg-BG"/>
              </w:rPr>
            </w:pPr>
            <w:r w:rsidRPr="005066BD">
              <w:rPr>
                <w:rFonts w:ascii="Times New Roman" w:eastAsia="Times New Roman" w:hAnsi="Times New Roman" w:cs="Times New Roman"/>
                <w:b/>
                <w:bCs/>
                <w:sz w:val="20"/>
                <w:szCs w:val="20"/>
                <w:lang w:eastAsia="bg-BG"/>
              </w:rPr>
              <w:t>1</w:t>
            </w:r>
          </w:p>
        </w:tc>
        <w:tc>
          <w:tcPr>
            <w:tcW w:w="4944" w:type="dxa"/>
            <w:tcBorders>
              <w:top w:val="nil"/>
              <w:left w:val="nil"/>
              <w:bottom w:val="single" w:sz="4" w:space="0" w:color="auto"/>
              <w:right w:val="single" w:sz="4" w:space="0" w:color="auto"/>
            </w:tcBorders>
            <w:shd w:val="clear" w:color="auto" w:fill="auto"/>
            <w:noWrap/>
            <w:vAlign w:val="bottom"/>
            <w:hideMark/>
          </w:tcPr>
          <w:p w14:paraId="20B07800" w14:textId="77777777" w:rsidR="004914F9" w:rsidRPr="005066BD" w:rsidRDefault="004914F9" w:rsidP="004914F9">
            <w:pPr>
              <w:spacing w:after="0" w:line="240" w:lineRule="auto"/>
              <w:rPr>
                <w:rFonts w:ascii="Times New Roman" w:eastAsia="Times New Roman" w:hAnsi="Times New Roman" w:cs="Times New Roman"/>
                <w:b/>
                <w:bCs/>
                <w:sz w:val="20"/>
                <w:szCs w:val="20"/>
                <w:lang w:eastAsia="bg-BG"/>
              </w:rPr>
            </w:pPr>
            <w:r w:rsidRPr="005066BD">
              <w:rPr>
                <w:rFonts w:ascii="Times New Roman" w:eastAsia="Times New Roman" w:hAnsi="Times New Roman" w:cs="Times New Roman"/>
                <w:b/>
                <w:bCs/>
                <w:sz w:val="20"/>
                <w:szCs w:val="20"/>
                <w:lang w:eastAsia="bg-BG"/>
              </w:rPr>
              <w:t xml:space="preserve">Гориво за производство, </w:t>
            </w:r>
            <w:r w:rsidRPr="005066BD">
              <w:rPr>
                <w:rFonts w:ascii="Times New Roman" w:eastAsia="Times New Roman" w:hAnsi="Times New Roman" w:cs="Times New Roman"/>
                <w:sz w:val="20"/>
                <w:szCs w:val="20"/>
                <w:lang w:eastAsia="bg-BG"/>
              </w:rPr>
              <w:t>в т.ч.:</w:t>
            </w:r>
          </w:p>
        </w:tc>
        <w:tc>
          <w:tcPr>
            <w:tcW w:w="850" w:type="dxa"/>
            <w:tcBorders>
              <w:top w:val="nil"/>
              <w:left w:val="nil"/>
              <w:bottom w:val="single" w:sz="4" w:space="0" w:color="auto"/>
              <w:right w:val="single" w:sz="4" w:space="0" w:color="auto"/>
            </w:tcBorders>
            <w:shd w:val="clear" w:color="auto" w:fill="auto"/>
            <w:noWrap/>
            <w:vAlign w:val="center"/>
            <w:hideMark/>
          </w:tcPr>
          <w:p w14:paraId="2CF86D0C" w14:textId="77777777" w:rsidR="004914F9" w:rsidRPr="005066BD" w:rsidRDefault="004914F9" w:rsidP="004914F9">
            <w:pPr>
              <w:spacing w:after="0" w:line="240" w:lineRule="auto"/>
              <w:jc w:val="center"/>
              <w:rPr>
                <w:rFonts w:ascii="Times New Roman" w:eastAsia="Times New Roman" w:hAnsi="Times New Roman" w:cs="Times New Roman"/>
                <w:b/>
                <w:bCs/>
                <w:sz w:val="20"/>
                <w:szCs w:val="20"/>
                <w:lang w:eastAsia="bg-BG"/>
              </w:rPr>
            </w:pPr>
            <w:r w:rsidRPr="005066BD">
              <w:rPr>
                <w:rFonts w:ascii="Times New Roman" w:eastAsia="Times New Roman" w:hAnsi="Times New Roman" w:cs="Times New Roman"/>
                <w:b/>
                <w:bCs/>
                <w:sz w:val="20"/>
                <w:szCs w:val="20"/>
                <w:lang w:eastAsia="bg-BG"/>
              </w:rPr>
              <w:t>хил. лв.</w:t>
            </w:r>
          </w:p>
        </w:tc>
        <w:tc>
          <w:tcPr>
            <w:tcW w:w="2410" w:type="dxa"/>
            <w:tcBorders>
              <w:top w:val="nil"/>
              <w:left w:val="nil"/>
              <w:bottom w:val="single" w:sz="4" w:space="0" w:color="auto"/>
              <w:right w:val="single" w:sz="4" w:space="0" w:color="auto"/>
            </w:tcBorders>
            <w:shd w:val="clear" w:color="auto" w:fill="auto"/>
            <w:noWrap/>
          </w:tcPr>
          <w:p w14:paraId="21C030AF" w14:textId="7443DB30" w:rsidR="004914F9" w:rsidRPr="005066BD" w:rsidRDefault="004914F9" w:rsidP="004914F9">
            <w:pPr>
              <w:spacing w:after="0" w:line="240" w:lineRule="auto"/>
              <w:jc w:val="center"/>
              <w:rPr>
                <w:rFonts w:ascii="Times New Roman" w:eastAsia="Times New Roman" w:hAnsi="Times New Roman" w:cs="Times New Roman"/>
                <w:b/>
                <w:bCs/>
                <w:sz w:val="20"/>
                <w:szCs w:val="20"/>
                <w:lang w:eastAsia="bg-BG"/>
              </w:rPr>
            </w:pPr>
            <w:r>
              <w:rPr>
                <w:rFonts w:ascii="Times New Roman" w:eastAsia="Times New Roman" w:hAnsi="Times New Roman" w:cs="Times New Roman"/>
                <w:sz w:val="20"/>
                <w:szCs w:val="20"/>
                <w:lang w:eastAsia="bg-BG"/>
              </w:rPr>
              <w:t>………………</w:t>
            </w:r>
          </w:p>
        </w:tc>
      </w:tr>
      <w:tr w:rsidR="004914F9" w:rsidRPr="005066BD" w14:paraId="5B2814A2" w14:textId="77777777" w:rsidTr="00B10D33">
        <w:trPr>
          <w:trHeight w:val="2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320E89B" w14:textId="77777777"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 </w:t>
            </w:r>
          </w:p>
        </w:tc>
        <w:tc>
          <w:tcPr>
            <w:tcW w:w="4944" w:type="dxa"/>
            <w:tcBorders>
              <w:top w:val="nil"/>
              <w:left w:val="nil"/>
              <w:bottom w:val="single" w:sz="4" w:space="0" w:color="auto"/>
              <w:right w:val="single" w:sz="4" w:space="0" w:color="auto"/>
            </w:tcBorders>
            <w:shd w:val="clear" w:color="auto" w:fill="auto"/>
            <w:noWrap/>
            <w:vAlign w:val="bottom"/>
            <w:hideMark/>
          </w:tcPr>
          <w:p w14:paraId="50888309" w14:textId="77777777" w:rsidR="004914F9" w:rsidRPr="005066BD" w:rsidRDefault="004914F9" w:rsidP="004914F9">
            <w:pPr>
              <w:spacing w:after="0" w:line="240" w:lineRule="auto"/>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 xml:space="preserve">            -основно гориво</w:t>
            </w:r>
          </w:p>
        </w:tc>
        <w:tc>
          <w:tcPr>
            <w:tcW w:w="850" w:type="dxa"/>
            <w:tcBorders>
              <w:top w:val="nil"/>
              <w:left w:val="nil"/>
              <w:bottom w:val="single" w:sz="4" w:space="0" w:color="auto"/>
              <w:right w:val="single" w:sz="4" w:space="0" w:color="auto"/>
            </w:tcBorders>
            <w:shd w:val="clear" w:color="auto" w:fill="auto"/>
            <w:noWrap/>
            <w:vAlign w:val="center"/>
            <w:hideMark/>
          </w:tcPr>
          <w:p w14:paraId="2017CC82" w14:textId="77777777"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хил. лв.</w:t>
            </w:r>
          </w:p>
        </w:tc>
        <w:tc>
          <w:tcPr>
            <w:tcW w:w="2410" w:type="dxa"/>
            <w:tcBorders>
              <w:top w:val="nil"/>
              <w:left w:val="nil"/>
              <w:bottom w:val="single" w:sz="4" w:space="0" w:color="auto"/>
              <w:right w:val="single" w:sz="4" w:space="0" w:color="auto"/>
            </w:tcBorders>
            <w:shd w:val="clear" w:color="auto" w:fill="auto"/>
            <w:noWrap/>
          </w:tcPr>
          <w:p w14:paraId="386A255C" w14:textId="6A3CA7C3"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w:t>
            </w:r>
          </w:p>
        </w:tc>
      </w:tr>
      <w:tr w:rsidR="004914F9" w:rsidRPr="005066BD" w14:paraId="756A338F" w14:textId="77777777" w:rsidTr="00567EA3">
        <w:trPr>
          <w:trHeight w:val="2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BAC7F5E" w14:textId="77777777"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 </w:t>
            </w:r>
          </w:p>
        </w:tc>
        <w:tc>
          <w:tcPr>
            <w:tcW w:w="4944" w:type="dxa"/>
            <w:tcBorders>
              <w:top w:val="nil"/>
              <w:left w:val="nil"/>
              <w:bottom w:val="single" w:sz="4" w:space="0" w:color="auto"/>
              <w:right w:val="single" w:sz="4" w:space="0" w:color="auto"/>
            </w:tcBorders>
            <w:shd w:val="clear" w:color="auto" w:fill="auto"/>
            <w:noWrap/>
            <w:vAlign w:val="bottom"/>
            <w:hideMark/>
          </w:tcPr>
          <w:p w14:paraId="139EFDF0" w14:textId="77777777" w:rsidR="004914F9" w:rsidRPr="005066BD" w:rsidRDefault="004914F9" w:rsidP="004914F9">
            <w:pPr>
              <w:spacing w:after="0" w:line="240" w:lineRule="auto"/>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 xml:space="preserve">въглища І - местни Марица-изток </w:t>
            </w:r>
          </w:p>
        </w:tc>
        <w:tc>
          <w:tcPr>
            <w:tcW w:w="850" w:type="dxa"/>
            <w:tcBorders>
              <w:top w:val="nil"/>
              <w:left w:val="nil"/>
              <w:bottom w:val="single" w:sz="4" w:space="0" w:color="auto"/>
              <w:right w:val="single" w:sz="4" w:space="0" w:color="auto"/>
            </w:tcBorders>
            <w:shd w:val="clear" w:color="auto" w:fill="auto"/>
            <w:noWrap/>
            <w:vAlign w:val="center"/>
            <w:hideMark/>
          </w:tcPr>
          <w:p w14:paraId="558089EC" w14:textId="77777777"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хил. лв.</w:t>
            </w:r>
          </w:p>
        </w:tc>
        <w:tc>
          <w:tcPr>
            <w:tcW w:w="2410" w:type="dxa"/>
            <w:tcBorders>
              <w:top w:val="nil"/>
              <w:left w:val="nil"/>
              <w:bottom w:val="single" w:sz="4" w:space="0" w:color="auto"/>
              <w:right w:val="single" w:sz="4" w:space="0" w:color="auto"/>
            </w:tcBorders>
            <w:shd w:val="clear" w:color="auto" w:fill="auto"/>
            <w:noWrap/>
          </w:tcPr>
          <w:p w14:paraId="62E13990" w14:textId="0A8CCF44"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w:t>
            </w:r>
          </w:p>
        </w:tc>
      </w:tr>
      <w:tr w:rsidR="004914F9" w:rsidRPr="005066BD" w14:paraId="08646041" w14:textId="77777777" w:rsidTr="00567EA3">
        <w:trPr>
          <w:trHeight w:val="2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648E485" w14:textId="77777777"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 </w:t>
            </w:r>
          </w:p>
        </w:tc>
        <w:tc>
          <w:tcPr>
            <w:tcW w:w="4944" w:type="dxa"/>
            <w:tcBorders>
              <w:top w:val="nil"/>
              <w:left w:val="nil"/>
              <w:bottom w:val="single" w:sz="4" w:space="0" w:color="auto"/>
              <w:right w:val="single" w:sz="4" w:space="0" w:color="auto"/>
            </w:tcBorders>
            <w:shd w:val="clear" w:color="auto" w:fill="auto"/>
            <w:noWrap/>
            <w:vAlign w:val="bottom"/>
            <w:hideMark/>
          </w:tcPr>
          <w:p w14:paraId="357387A0" w14:textId="77777777" w:rsidR="004914F9" w:rsidRPr="005066BD" w:rsidRDefault="004914F9" w:rsidP="004914F9">
            <w:pPr>
              <w:spacing w:after="0" w:line="240" w:lineRule="auto"/>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 </w:t>
            </w:r>
          </w:p>
        </w:tc>
        <w:tc>
          <w:tcPr>
            <w:tcW w:w="850" w:type="dxa"/>
            <w:tcBorders>
              <w:top w:val="nil"/>
              <w:left w:val="nil"/>
              <w:bottom w:val="single" w:sz="4" w:space="0" w:color="auto"/>
              <w:right w:val="single" w:sz="4" w:space="0" w:color="auto"/>
            </w:tcBorders>
            <w:shd w:val="clear" w:color="auto" w:fill="auto"/>
            <w:noWrap/>
            <w:vAlign w:val="center"/>
            <w:hideMark/>
          </w:tcPr>
          <w:p w14:paraId="2C26DFA4" w14:textId="77777777"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хил. лв.</w:t>
            </w:r>
          </w:p>
        </w:tc>
        <w:tc>
          <w:tcPr>
            <w:tcW w:w="2410" w:type="dxa"/>
            <w:tcBorders>
              <w:top w:val="nil"/>
              <w:left w:val="nil"/>
              <w:bottom w:val="single" w:sz="4" w:space="0" w:color="auto"/>
              <w:right w:val="single" w:sz="4" w:space="0" w:color="auto"/>
            </w:tcBorders>
            <w:shd w:val="clear" w:color="auto" w:fill="auto"/>
            <w:noWrap/>
          </w:tcPr>
          <w:p w14:paraId="40B8B0D3" w14:textId="56F827F6"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w:t>
            </w:r>
          </w:p>
        </w:tc>
      </w:tr>
      <w:tr w:rsidR="004914F9" w:rsidRPr="005066BD" w14:paraId="61130B8F" w14:textId="77777777" w:rsidTr="00567EA3">
        <w:trPr>
          <w:trHeight w:val="2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DCD49AD" w14:textId="77777777"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 </w:t>
            </w:r>
          </w:p>
        </w:tc>
        <w:tc>
          <w:tcPr>
            <w:tcW w:w="4944" w:type="dxa"/>
            <w:tcBorders>
              <w:top w:val="nil"/>
              <w:left w:val="nil"/>
              <w:bottom w:val="single" w:sz="4" w:space="0" w:color="auto"/>
              <w:right w:val="single" w:sz="4" w:space="0" w:color="auto"/>
            </w:tcBorders>
            <w:shd w:val="clear" w:color="auto" w:fill="auto"/>
            <w:noWrap/>
            <w:vAlign w:val="bottom"/>
            <w:hideMark/>
          </w:tcPr>
          <w:p w14:paraId="17901DD5" w14:textId="77777777" w:rsidR="004914F9" w:rsidRPr="005066BD" w:rsidRDefault="004914F9" w:rsidP="004914F9">
            <w:pPr>
              <w:spacing w:after="0" w:line="240" w:lineRule="auto"/>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 xml:space="preserve">             -гориво за разпалване</w:t>
            </w:r>
          </w:p>
        </w:tc>
        <w:tc>
          <w:tcPr>
            <w:tcW w:w="850" w:type="dxa"/>
            <w:tcBorders>
              <w:top w:val="nil"/>
              <w:left w:val="nil"/>
              <w:bottom w:val="single" w:sz="4" w:space="0" w:color="auto"/>
              <w:right w:val="single" w:sz="4" w:space="0" w:color="auto"/>
            </w:tcBorders>
            <w:shd w:val="clear" w:color="auto" w:fill="auto"/>
            <w:noWrap/>
            <w:vAlign w:val="center"/>
            <w:hideMark/>
          </w:tcPr>
          <w:p w14:paraId="0ED53FC3" w14:textId="77777777"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хил. лв.</w:t>
            </w:r>
          </w:p>
        </w:tc>
        <w:tc>
          <w:tcPr>
            <w:tcW w:w="2410" w:type="dxa"/>
            <w:tcBorders>
              <w:top w:val="nil"/>
              <w:left w:val="nil"/>
              <w:bottom w:val="single" w:sz="4" w:space="0" w:color="auto"/>
              <w:right w:val="single" w:sz="4" w:space="0" w:color="auto"/>
            </w:tcBorders>
            <w:shd w:val="clear" w:color="auto" w:fill="auto"/>
            <w:noWrap/>
          </w:tcPr>
          <w:p w14:paraId="46C079F2" w14:textId="0921F46B"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w:t>
            </w:r>
          </w:p>
        </w:tc>
      </w:tr>
      <w:tr w:rsidR="004914F9" w:rsidRPr="005066BD" w14:paraId="08699E45" w14:textId="77777777" w:rsidTr="007862FD">
        <w:trPr>
          <w:trHeight w:val="2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2AF5434" w14:textId="77777777"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 </w:t>
            </w:r>
          </w:p>
        </w:tc>
        <w:tc>
          <w:tcPr>
            <w:tcW w:w="4944" w:type="dxa"/>
            <w:tcBorders>
              <w:top w:val="nil"/>
              <w:left w:val="nil"/>
              <w:bottom w:val="single" w:sz="4" w:space="0" w:color="auto"/>
              <w:right w:val="single" w:sz="4" w:space="0" w:color="auto"/>
            </w:tcBorders>
            <w:shd w:val="clear" w:color="auto" w:fill="auto"/>
            <w:noWrap/>
            <w:vAlign w:val="bottom"/>
            <w:hideMark/>
          </w:tcPr>
          <w:p w14:paraId="0B3E0DE9" w14:textId="77777777" w:rsidR="004914F9" w:rsidRPr="005066BD" w:rsidRDefault="004914F9" w:rsidP="004914F9">
            <w:pPr>
              <w:spacing w:after="0" w:line="240" w:lineRule="auto"/>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мазут</w:t>
            </w:r>
          </w:p>
        </w:tc>
        <w:tc>
          <w:tcPr>
            <w:tcW w:w="850" w:type="dxa"/>
            <w:tcBorders>
              <w:top w:val="nil"/>
              <w:left w:val="nil"/>
              <w:bottom w:val="single" w:sz="4" w:space="0" w:color="auto"/>
              <w:right w:val="single" w:sz="4" w:space="0" w:color="auto"/>
            </w:tcBorders>
            <w:shd w:val="clear" w:color="auto" w:fill="auto"/>
            <w:noWrap/>
            <w:vAlign w:val="center"/>
            <w:hideMark/>
          </w:tcPr>
          <w:p w14:paraId="66A84DE7" w14:textId="77777777"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хил. лв.</w:t>
            </w:r>
          </w:p>
        </w:tc>
        <w:tc>
          <w:tcPr>
            <w:tcW w:w="2410" w:type="dxa"/>
            <w:tcBorders>
              <w:top w:val="nil"/>
              <w:left w:val="nil"/>
              <w:bottom w:val="single" w:sz="4" w:space="0" w:color="auto"/>
              <w:right w:val="single" w:sz="4" w:space="0" w:color="auto"/>
            </w:tcBorders>
            <w:shd w:val="clear" w:color="auto" w:fill="auto"/>
            <w:noWrap/>
          </w:tcPr>
          <w:p w14:paraId="579EF6A9" w14:textId="56C30AFF"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w:t>
            </w:r>
          </w:p>
        </w:tc>
      </w:tr>
      <w:tr w:rsidR="004914F9" w:rsidRPr="005066BD" w14:paraId="04050857" w14:textId="77777777" w:rsidTr="007862FD">
        <w:trPr>
          <w:trHeight w:val="2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6E96D9E" w14:textId="77777777"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 </w:t>
            </w:r>
          </w:p>
        </w:tc>
        <w:tc>
          <w:tcPr>
            <w:tcW w:w="4944" w:type="dxa"/>
            <w:tcBorders>
              <w:top w:val="nil"/>
              <w:left w:val="nil"/>
              <w:bottom w:val="single" w:sz="4" w:space="0" w:color="auto"/>
              <w:right w:val="single" w:sz="4" w:space="0" w:color="auto"/>
            </w:tcBorders>
            <w:shd w:val="clear" w:color="auto" w:fill="auto"/>
            <w:noWrap/>
            <w:vAlign w:val="bottom"/>
            <w:hideMark/>
          </w:tcPr>
          <w:p w14:paraId="541F3B36" w14:textId="77777777" w:rsidR="004914F9" w:rsidRPr="005066BD" w:rsidRDefault="004914F9" w:rsidP="004914F9">
            <w:pPr>
              <w:spacing w:after="0" w:line="240" w:lineRule="auto"/>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природен газ /метан/</w:t>
            </w:r>
          </w:p>
        </w:tc>
        <w:tc>
          <w:tcPr>
            <w:tcW w:w="850" w:type="dxa"/>
            <w:tcBorders>
              <w:top w:val="nil"/>
              <w:left w:val="nil"/>
              <w:bottom w:val="single" w:sz="4" w:space="0" w:color="auto"/>
              <w:right w:val="single" w:sz="4" w:space="0" w:color="auto"/>
            </w:tcBorders>
            <w:shd w:val="clear" w:color="auto" w:fill="auto"/>
            <w:noWrap/>
            <w:vAlign w:val="center"/>
            <w:hideMark/>
          </w:tcPr>
          <w:p w14:paraId="4D2F6746" w14:textId="77777777"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хил. лв.</w:t>
            </w:r>
          </w:p>
        </w:tc>
        <w:tc>
          <w:tcPr>
            <w:tcW w:w="2410" w:type="dxa"/>
            <w:tcBorders>
              <w:top w:val="nil"/>
              <w:left w:val="nil"/>
              <w:bottom w:val="single" w:sz="4" w:space="0" w:color="auto"/>
              <w:right w:val="single" w:sz="4" w:space="0" w:color="auto"/>
            </w:tcBorders>
            <w:shd w:val="clear" w:color="auto" w:fill="auto"/>
            <w:noWrap/>
          </w:tcPr>
          <w:p w14:paraId="5D904DC9" w14:textId="1389B21B"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w:t>
            </w:r>
          </w:p>
        </w:tc>
      </w:tr>
      <w:tr w:rsidR="004914F9" w:rsidRPr="005066BD" w14:paraId="486E9537" w14:textId="77777777" w:rsidTr="007862FD">
        <w:trPr>
          <w:trHeight w:val="2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01DAFCC" w14:textId="77777777" w:rsidR="004914F9" w:rsidRPr="005066BD" w:rsidRDefault="004914F9" w:rsidP="004914F9">
            <w:pPr>
              <w:spacing w:after="0" w:line="240" w:lineRule="auto"/>
              <w:jc w:val="center"/>
              <w:rPr>
                <w:rFonts w:ascii="Times New Roman" w:eastAsia="Times New Roman" w:hAnsi="Times New Roman" w:cs="Times New Roman"/>
                <w:b/>
                <w:bCs/>
                <w:sz w:val="20"/>
                <w:szCs w:val="20"/>
                <w:lang w:eastAsia="bg-BG"/>
              </w:rPr>
            </w:pPr>
            <w:r w:rsidRPr="005066BD">
              <w:rPr>
                <w:rFonts w:ascii="Times New Roman" w:eastAsia="Times New Roman" w:hAnsi="Times New Roman" w:cs="Times New Roman"/>
                <w:b/>
                <w:bCs/>
                <w:sz w:val="20"/>
                <w:szCs w:val="20"/>
                <w:lang w:eastAsia="bg-BG"/>
              </w:rPr>
              <w:t>2</w:t>
            </w:r>
          </w:p>
        </w:tc>
        <w:tc>
          <w:tcPr>
            <w:tcW w:w="4944" w:type="dxa"/>
            <w:tcBorders>
              <w:top w:val="nil"/>
              <w:left w:val="nil"/>
              <w:bottom w:val="single" w:sz="4" w:space="0" w:color="auto"/>
              <w:right w:val="single" w:sz="4" w:space="0" w:color="auto"/>
            </w:tcBorders>
            <w:shd w:val="clear" w:color="auto" w:fill="auto"/>
            <w:noWrap/>
            <w:vAlign w:val="bottom"/>
            <w:hideMark/>
          </w:tcPr>
          <w:p w14:paraId="1DEDF5CF" w14:textId="77777777" w:rsidR="004914F9" w:rsidRPr="005066BD" w:rsidRDefault="004914F9" w:rsidP="004914F9">
            <w:pPr>
              <w:spacing w:after="0" w:line="240" w:lineRule="auto"/>
              <w:rPr>
                <w:rFonts w:ascii="Times New Roman" w:eastAsia="Times New Roman" w:hAnsi="Times New Roman" w:cs="Times New Roman"/>
                <w:b/>
                <w:bCs/>
                <w:sz w:val="20"/>
                <w:szCs w:val="20"/>
                <w:lang w:eastAsia="bg-BG"/>
              </w:rPr>
            </w:pPr>
            <w:r w:rsidRPr="005066BD">
              <w:rPr>
                <w:rFonts w:ascii="Times New Roman" w:eastAsia="Times New Roman" w:hAnsi="Times New Roman" w:cs="Times New Roman"/>
                <w:b/>
                <w:bCs/>
                <w:sz w:val="20"/>
                <w:szCs w:val="20"/>
                <w:lang w:eastAsia="bg-BG"/>
              </w:rPr>
              <w:t xml:space="preserve">Консумативи </w:t>
            </w:r>
          </w:p>
        </w:tc>
        <w:tc>
          <w:tcPr>
            <w:tcW w:w="850" w:type="dxa"/>
            <w:tcBorders>
              <w:top w:val="nil"/>
              <w:left w:val="nil"/>
              <w:bottom w:val="single" w:sz="4" w:space="0" w:color="auto"/>
              <w:right w:val="single" w:sz="4" w:space="0" w:color="auto"/>
            </w:tcBorders>
            <w:shd w:val="clear" w:color="auto" w:fill="auto"/>
            <w:noWrap/>
            <w:vAlign w:val="center"/>
            <w:hideMark/>
          </w:tcPr>
          <w:p w14:paraId="4CFBD1BA" w14:textId="77777777" w:rsidR="004914F9" w:rsidRPr="005066BD" w:rsidRDefault="004914F9" w:rsidP="004914F9">
            <w:pPr>
              <w:spacing w:after="0" w:line="240" w:lineRule="auto"/>
              <w:jc w:val="center"/>
              <w:rPr>
                <w:rFonts w:ascii="Times New Roman" w:eastAsia="Times New Roman" w:hAnsi="Times New Roman" w:cs="Times New Roman"/>
                <w:b/>
                <w:bCs/>
                <w:sz w:val="20"/>
                <w:szCs w:val="20"/>
                <w:lang w:eastAsia="bg-BG"/>
              </w:rPr>
            </w:pPr>
            <w:r w:rsidRPr="005066BD">
              <w:rPr>
                <w:rFonts w:ascii="Times New Roman" w:eastAsia="Times New Roman" w:hAnsi="Times New Roman" w:cs="Times New Roman"/>
                <w:b/>
                <w:bCs/>
                <w:sz w:val="20"/>
                <w:szCs w:val="20"/>
                <w:lang w:eastAsia="bg-BG"/>
              </w:rPr>
              <w:t>хил. лв.</w:t>
            </w:r>
          </w:p>
        </w:tc>
        <w:tc>
          <w:tcPr>
            <w:tcW w:w="2410" w:type="dxa"/>
            <w:tcBorders>
              <w:top w:val="nil"/>
              <w:left w:val="nil"/>
              <w:bottom w:val="single" w:sz="4" w:space="0" w:color="auto"/>
              <w:right w:val="single" w:sz="4" w:space="0" w:color="auto"/>
            </w:tcBorders>
            <w:shd w:val="clear" w:color="auto" w:fill="auto"/>
            <w:noWrap/>
          </w:tcPr>
          <w:p w14:paraId="4EEBD59C" w14:textId="248264A4" w:rsidR="004914F9" w:rsidRPr="005066BD" w:rsidRDefault="004914F9" w:rsidP="004914F9">
            <w:pPr>
              <w:spacing w:after="0" w:line="240" w:lineRule="auto"/>
              <w:jc w:val="center"/>
              <w:rPr>
                <w:rFonts w:ascii="Times New Roman" w:eastAsia="Times New Roman" w:hAnsi="Times New Roman" w:cs="Times New Roman"/>
                <w:b/>
                <w:bCs/>
                <w:sz w:val="20"/>
                <w:szCs w:val="20"/>
                <w:lang w:eastAsia="bg-BG"/>
              </w:rPr>
            </w:pPr>
            <w:r>
              <w:rPr>
                <w:rFonts w:ascii="Times New Roman" w:eastAsia="Times New Roman" w:hAnsi="Times New Roman" w:cs="Times New Roman"/>
                <w:sz w:val="20"/>
                <w:szCs w:val="20"/>
                <w:lang w:eastAsia="bg-BG"/>
              </w:rPr>
              <w:t>………………</w:t>
            </w:r>
          </w:p>
        </w:tc>
      </w:tr>
      <w:tr w:rsidR="004914F9" w:rsidRPr="005066BD" w14:paraId="693A9B10" w14:textId="77777777" w:rsidTr="007862FD">
        <w:trPr>
          <w:trHeight w:val="2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55F4D20" w14:textId="77777777" w:rsidR="004914F9" w:rsidRPr="005066BD" w:rsidRDefault="004914F9" w:rsidP="004914F9">
            <w:pPr>
              <w:spacing w:after="0" w:line="240" w:lineRule="auto"/>
              <w:jc w:val="center"/>
              <w:rPr>
                <w:rFonts w:ascii="Times New Roman" w:eastAsia="Times New Roman" w:hAnsi="Times New Roman" w:cs="Times New Roman"/>
                <w:b/>
                <w:bCs/>
                <w:sz w:val="20"/>
                <w:szCs w:val="20"/>
                <w:lang w:eastAsia="bg-BG"/>
              </w:rPr>
            </w:pPr>
            <w:r w:rsidRPr="005066BD">
              <w:rPr>
                <w:rFonts w:ascii="Times New Roman" w:eastAsia="Times New Roman" w:hAnsi="Times New Roman" w:cs="Times New Roman"/>
                <w:b/>
                <w:bCs/>
                <w:sz w:val="20"/>
                <w:szCs w:val="20"/>
                <w:lang w:eastAsia="bg-BG"/>
              </w:rPr>
              <w:t> </w:t>
            </w:r>
          </w:p>
        </w:tc>
        <w:tc>
          <w:tcPr>
            <w:tcW w:w="4944" w:type="dxa"/>
            <w:tcBorders>
              <w:top w:val="nil"/>
              <w:left w:val="nil"/>
              <w:bottom w:val="single" w:sz="4" w:space="0" w:color="auto"/>
              <w:right w:val="single" w:sz="4" w:space="0" w:color="auto"/>
            </w:tcBorders>
            <w:shd w:val="clear" w:color="auto" w:fill="auto"/>
            <w:noWrap/>
            <w:vAlign w:val="bottom"/>
            <w:hideMark/>
          </w:tcPr>
          <w:p w14:paraId="441E9EEA" w14:textId="77777777" w:rsidR="004914F9" w:rsidRPr="005066BD" w:rsidRDefault="004914F9" w:rsidP="004914F9">
            <w:pPr>
              <w:spacing w:after="0" w:line="240" w:lineRule="auto"/>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 xml:space="preserve">Варовик за </w:t>
            </w:r>
            <w:proofErr w:type="spellStart"/>
            <w:r w:rsidRPr="005066BD">
              <w:rPr>
                <w:rFonts w:ascii="Times New Roman" w:eastAsia="Times New Roman" w:hAnsi="Times New Roman" w:cs="Times New Roman"/>
                <w:sz w:val="20"/>
                <w:szCs w:val="20"/>
                <w:lang w:eastAsia="bg-BG"/>
              </w:rPr>
              <w:t>сероочистващи</w:t>
            </w:r>
            <w:proofErr w:type="spellEnd"/>
            <w:r w:rsidRPr="005066BD">
              <w:rPr>
                <w:rFonts w:ascii="Times New Roman" w:eastAsia="Times New Roman" w:hAnsi="Times New Roman" w:cs="Times New Roman"/>
                <w:sz w:val="20"/>
                <w:szCs w:val="20"/>
                <w:lang w:eastAsia="bg-BG"/>
              </w:rPr>
              <w:t xml:space="preserve"> инсталации (СОИ)</w:t>
            </w:r>
          </w:p>
        </w:tc>
        <w:tc>
          <w:tcPr>
            <w:tcW w:w="850" w:type="dxa"/>
            <w:tcBorders>
              <w:top w:val="nil"/>
              <w:left w:val="nil"/>
              <w:bottom w:val="single" w:sz="4" w:space="0" w:color="auto"/>
              <w:right w:val="single" w:sz="4" w:space="0" w:color="auto"/>
            </w:tcBorders>
            <w:shd w:val="clear" w:color="auto" w:fill="auto"/>
            <w:noWrap/>
            <w:vAlign w:val="center"/>
            <w:hideMark/>
          </w:tcPr>
          <w:p w14:paraId="65C34C20" w14:textId="77777777"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хил. лв.</w:t>
            </w:r>
          </w:p>
        </w:tc>
        <w:tc>
          <w:tcPr>
            <w:tcW w:w="2410" w:type="dxa"/>
            <w:tcBorders>
              <w:top w:val="nil"/>
              <w:left w:val="nil"/>
              <w:bottom w:val="single" w:sz="4" w:space="0" w:color="auto"/>
              <w:right w:val="single" w:sz="4" w:space="0" w:color="auto"/>
            </w:tcBorders>
            <w:shd w:val="clear" w:color="auto" w:fill="auto"/>
            <w:noWrap/>
          </w:tcPr>
          <w:p w14:paraId="5A722D24" w14:textId="395BAF36"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w:t>
            </w:r>
          </w:p>
        </w:tc>
      </w:tr>
      <w:tr w:rsidR="004914F9" w:rsidRPr="005066BD" w14:paraId="707C348D" w14:textId="77777777" w:rsidTr="007862FD">
        <w:trPr>
          <w:trHeight w:val="2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85B9E9D" w14:textId="77777777" w:rsidR="004914F9" w:rsidRPr="005066BD" w:rsidRDefault="004914F9" w:rsidP="004914F9">
            <w:pPr>
              <w:spacing w:after="0" w:line="240" w:lineRule="auto"/>
              <w:jc w:val="center"/>
              <w:rPr>
                <w:rFonts w:ascii="Times New Roman" w:eastAsia="Times New Roman" w:hAnsi="Times New Roman" w:cs="Times New Roman"/>
                <w:b/>
                <w:bCs/>
                <w:sz w:val="20"/>
                <w:szCs w:val="20"/>
                <w:lang w:eastAsia="bg-BG"/>
              </w:rPr>
            </w:pPr>
            <w:r w:rsidRPr="005066BD">
              <w:rPr>
                <w:rFonts w:ascii="Times New Roman" w:eastAsia="Times New Roman" w:hAnsi="Times New Roman" w:cs="Times New Roman"/>
                <w:b/>
                <w:bCs/>
                <w:sz w:val="20"/>
                <w:szCs w:val="20"/>
                <w:lang w:eastAsia="bg-BG"/>
              </w:rPr>
              <w:t> </w:t>
            </w:r>
          </w:p>
        </w:tc>
        <w:tc>
          <w:tcPr>
            <w:tcW w:w="4944" w:type="dxa"/>
            <w:tcBorders>
              <w:top w:val="nil"/>
              <w:left w:val="nil"/>
              <w:bottom w:val="single" w:sz="4" w:space="0" w:color="auto"/>
              <w:right w:val="single" w:sz="4" w:space="0" w:color="auto"/>
            </w:tcBorders>
            <w:shd w:val="clear" w:color="auto" w:fill="auto"/>
            <w:noWrap/>
            <w:vAlign w:val="bottom"/>
            <w:hideMark/>
          </w:tcPr>
          <w:p w14:paraId="3DE0B2CB" w14:textId="77777777" w:rsidR="004914F9" w:rsidRPr="005066BD" w:rsidRDefault="004914F9" w:rsidP="004914F9">
            <w:pPr>
              <w:spacing w:after="0" w:line="240" w:lineRule="auto"/>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 xml:space="preserve">Химически реагенти за </w:t>
            </w:r>
            <w:proofErr w:type="spellStart"/>
            <w:r w:rsidRPr="005066BD">
              <w:rPr>
                <w:rFonts w:ascii="Times New Roman" w:eastAsia="Times New Roman" w:hAnsi="Times New Roman" w:cs="Times New Roman"/>
                <w:sz w:val="20"/>
                <w:szCs w:val="20"/>
                <w:lang w:eastAsia="bg-BG"/>
              </w:rPr>
              <w:t>водоочистка</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14:paraId="7037F3B4" w14:textId="77777777"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хил. лв.</w:t>
            </w:r>
          </w:p>
        </w:tc>
        <w:tc>
          <w:tcPr>
            <w:tcW w:w="2410" w:type="dxa"/>
            <w:tcBorders>
              <w:top w:val="nil"/>
              <w:left w:val="nil"/>
              <w:bottom w:val="single" w:sz="4" w:space="0" w:color="auto"/>
              <w:right w:val="single" w:sz="4" w:space="0" w:color="auto"/>
            </w:tcBorders>
            <w:shd w:val="clear" w:color="auto" w:fill="auto"/>
            <w:noWrap/>
          </w:tcPr>
          <w:p w14:paraId="1DAC27B6" w14:textId="0D5D76F9"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w:t>
            </w:r>
          </w:p>
        </w:tc>
      </w:tr>
      <w:tr w:rsidR="004914F9" w:rsidRPr="005066BD" w14:paraId="178AD35C" w14:textId="77777777" w:rsidTr="007862FD">
        <w:trPr>
          <w:trHeight w:val="2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7F8F158" w14:textId="77777777" w:rsidR="004914F9" w:rsidRPr="005066BD" w:rsidRDefault="004914F9" w:rsidP="004914F9">
            <w:pPr>
              <w:spacing w:after="0" w:line="240" w:lineRule="auto"/>
              <w:jc w:val="center"/>
              <w:rPr>
                <w:rFonts w:ascii="Times New Roman" w:eastAsia="Times New Roman" w:hAnsi="Times New Roman" w:cs="Times New Roman"/>
                <w:b/>
                <w:bCs/>
                <w:sz w:val="20"/>
                <w:szCs w:val="20"/>
                <w:lang w:eastAsia="bg-BG"/>
              </w:rPr>
            </w:pPr>
            <w:r w:rsidRPr="005066BD">
              <w:rPr>
                <w:rFonts w:ascii="Times New Roman" w:eastAsia="Times New Roman" w:hAnsi="Times New Roman" w:cs="Times New Roman"/>
                <w:b/>
                <w:bCs/>
                <w:sz w:val="20"/>
                <w:szCs w:val="20"/>
                <w:lang w:eastAsia="bg-BG"/>
              </w:rPr>
              <w:t> </w:t>
            </w:r>
          </w:p>
        </w:tc>
        <w:tc>
          <w:tcPr>
            <w:tcW w:w="4944" w:type="dxa"/>
            <w:tcBorders>
              <w:top w:val="nil"/>
              <w:left w:val="nil"/>
              <w:bottom w:val="single" w:sz="4" w:space="0" w:color="auto"/>
              <w:right w:val="single" w:sz="4" w:space="0" w:color="auto"/>
            </w:tcBorders>
            <w:shd w:val="clear" w:color="auto" w:fill="auto"/>
            <w:noWrap/>
            <w:vAlign w:val="bottom"/>
            <w:hideMark/>
          </w:tcPr>
          <w:p w14:paraId="544F9B01" w14:textId="77777777" w:rsidR="004914F9" w:rsidRPr="005066BD" w:rsidRDefault="004914F9" w:rsidP="004914F9">
            <w:pPr>
              <w:spacing w:after="0" w:line="240" w:lineRule="auto"/>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Смазочни материали</w:t>
            </w:r>
          </w:p>
        </w:tc>
        <w:tc>
          <w:tcPr>
            <w:tcW w:w="850" w:type="dxa"/>
            <w:tcBorders>
              <w:top w:val="nil"/>
              <w:left w:val="nil"/>
              <w:bottom w:val="single" w:sz="4" w:space="0" w:color="auto"/>
              <w:right w:val="single" w:sz="4" w:space="0" w:color="auto"/>
            </w:tcBorders>
            <w:shd w:val="clear" w:color="auto" w:fill="auto"/>
            <w:noWrap/>
            <w:vAlign w:val="center"/>
            <w:hideMark/>
          </w:tcPr>
          <w:p w14:paraId="0CFA4DA2" w14:textId="77777777"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хил. лв.</w:t>
            </w:r>
          </w:p>
        </w:tc>
        <w:tc>
          <w:tcPr>
            <w:tcW w:w="2410" w:type="dxa"/>
            <w:tcBorders>
              <w:top w:val="nil"/>
              <w:left w:val="nil"/>
              <w:bottom w:val="single" w:sz="4" w:space="0" w:color="auto"/>
              <w:right w:val="single" w:sz="4" w:space="0" w:color="auto"/>
            </w:tcBorders>
            <w:shd w:val="clear" w:color="auto" w:fill="auto"/>
            <w:noWrap/>
          </w:tcPr>
          <w:p w14:paraId="62DB70FF" w14:textId="55A9E574"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w:t>
            </w:r>
          </w:p>
        </w:tc>
      </w:tr>
      <w:tr w:rsidR="004914F9" w:rsidRPr="005066BD" w14:paraId="14921B3C" w14:textId="77777777" w:rsidTr="00003ED3">
        <w:trPr>
          <w:trHeight w:val="2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43DB3967" w14:textId="77777777" w:rsidR="004914F9" w:rsidRPr="005066BD" w:rsidRDefault="004914F9" w:rsidP="004914F9">
            <w:pPr>
              <w:spacing w:after="0" w:line="240" w:lineRule="auto"/>
              <w:jc w:val="center"/>
              <w:rPr>
                <w:rFonts w:ascii="Times New Roman" w:eastAsia="Times New Roman" w:hAnsi="Times New Roman" w:cs="Times New Roman"/>
                <w:b/>
                <w:bCs/>
                <w:sz w:val="20"/>
                <w:szCs w:val="20"/>
                <w:lang w:eastAsia="bg-BG"/>
              </w:rPr>
            </w:pPr>
            <w:r w:rsidRPr="005066BD">
              <w:rPr>
                <w:rFonts w:ascii="Times New Roman" w:eastAsia="Times New Roman" w:hAnsi="Times New Roman" w:cs="Times New Roman"/>
                <w:b/>
                <w:bCs/>
                <w:sz w:val="20"/>
                <w:szCs w:val="20"/>
                <w:lang w:eastAsia="bg-BG"/>
              </w:rPr>
              <w:t>3</w:t>
            </w:r>
          </w:p>
        </w:tc>
        <w:tc>
          <w:tcPr>
            <w:tcW w:w="4944" w:type="dxa"/>
            <w:tcBorders>
              <w:top w:val="nil"/>
              <w:left w:val="nil"/>
              <w:bottom w:val="single" w:sz="4" w:space="0" w:color="auto"/>
              <w:right w:val="single" w:sz="4" w:space="0" w:color="auto"/>
            </w:tcBorders>
            <w:shd w:val="clear" w:color="auto" w:fill="auto"/>
            <w:noWrap/>
            <w:vAlign w:val="bottom"/>
            <w:hideMark/>
          </w:tcPr>
          <w:p w14:paraId="4C35FB1C" w14:textId="77777777" w:rsidR="004914F9" w:rsidRPr="005066BD" w:rsidRDefault="004914F9" w:rsidP="004914F9">
            <w:pPr>
              <w:spacing w:after="0" w:line="240" w:lineRule="auto"/>
              <w:rPr>
                <w:rFonts w:ascii="Times New Roman" w:eastAsia="Times New Roman" w:hAnsi="Times New Roman" w:cs="Times New Roman"/>
                <w:b/>
                <w:bCs/>
                <w:sz w:val="20"/>
                <w:szCs w:val="20"/>
                <w:lang w:eastAsia="bg-BG"/>
              </w:rPr>
            </w:pPr>
            <w:r w:rsidRPr="005066BD">
              <w:rPr>
                <w:rFonts w:ascii="Times New Roman" w:eastAsia="Times New Roman" w:hAnsi="Times New Roman" w:cs="Times New Roman"/>
                <w:b/>
                <w:bCs/>
                <w:sz w:val="20"/>
                <w:szCs w:val="20"/>
                <w:lang w:eastAsia="bg-BG"/>
              </w:rPr>
              <w:t>Други променливи разходи</w:t>
            </w:r>
          </w:p>
        </w:tc>
        <w:tc>
          <w:tcPr>
            <w:tcW w:w="850" w:type="dxa"/>
            <w:tcBorders>
              <w:top w:val="nil"/>
              <w:left w:val="nil"/>
              <w:bottom w:val="single" w:sz="4" w:space="0" w:color="auto"/>
              <w:right w:val="single" w:sz="4" w:space="0" w:color="auto"/>
            </w:tcBorders>
            <w:shd w:val="clear" w:color="auto" w:fill="auto"/>
            <w:noWrap/>
            <w:vAlign w:val="center"/>
            <w:hideMark/>
          </w:tcPr>
          <w:p w14:paraId="4DEF4114" w14:textId="77777777" w:rsidR="004914F9" w:rsidRPr="005066BD" w:rsidRDefault="004914F9" w:rsidP="004914F9">
            <w:pPr>
              <w:spacing w:after="0" w:line="240" w:lineRule="auto"/>
              <w:jc w:val="center"/>
              <w:rPr>
                <w:rFonts w:ascii="Times New Roman" w:eastAsia="Times New Roman" w:hAnsi="Times New Roman" w:cs="Times New Roman"/>
                <w:b/>
                <w:bCs/>
                <w:sz w:val="20"/>
                <w:szCs w:val="20"/>
                <w:lang w:eastAsia="bg-BG"/>
              </w:rPr>
            </w:pPr>
            <w:r w:rsidRPr="005066BD">
              <w:rPr>
                <w:rFonts w:ascii="Times New Roman" w:eastAsia="Times New Roman" w:hAnsi="Times New Roman" w:cs="Times New Roman"/>
                <w:b/>
                <w:bCs/>
                <w:sz w:val="20"/>
                <w:szCs w:val="20"/>
                <w:lang w:eastAsia="bg-BG"/>
              </w:rPr>
              <w:t>хил. лв.</w:t>
            </w:r>
          </w:p>
        </w:tc>
        <w:tc>
          <w:tcPr>
            <w:tcW w:w="2410" w:type="dxa"/>
            <w:tcBorders>
              <w:top w:val="nil"/>
              <w:left w:val="nil"/>
              <w:bottom w:val="single" w:sz="4" w:space="0" w:color="auto"/>
              <w:right w:val="single" w:sz="4" w:space="0" w:color="auto"/>
            </w:tcBorders>
            <w:shd w:val="clear" w:color="auto" w:fill="auto"/>
            <w:noWrap/>
          </w:tcPr>
          <w:p w14:paraId="1FBF9A60" w14:textId="77C8CBBD" w:rsidR="004914F9" w:rsidRPr="005066BD" w:rsidRDefault="004914F9" w:rsidP="004914F9">
            <w:pPr>
              <w:spacing w:after="0" w:line="240" w:lineRule="auto"/>
              <w:jc w:val="center"/>
              <w:rPr>
                <w:rFonts w:ascii="Times New Roman" w:eastAsia="Times New Roman" w:hAnsi="Times New Roman" w:cs="Times New Roman"/>
                <w:b/>
                <w:bCs/>
                <w:sz w:val="20"/>
                <w:szCs w:val="20"/>
                <w:lang w:eastAsia="bg-BG"/>
              </w:rPr>
            </w:pPr>
            <w:r>
              <w:rPr>
                <w:rFonts w:ascii="Times New Roman" w:eastAsia="Times New Roman" w:hAnsi="Times New Roman" w:cs="Times New Roman"/>
                <w:sz w:val="20"/>
                <w:szCs w:val="20"/>
                <w:lang w:eastAsia="bg-BG"/>
              </w:rPr>
              <w:t>………………</w:t>
            </w:r>
          </w:p>
        </w:tc>
      </w:tr>
      <w:tr w:rsidR="004914F9" w:rsidRPr="005066BD" w14:paraId="0C0E1FF6" w14:textId="77777777" w:rsidTr="00003ED3">
        <w:trPr>
          <w:trHeight w:val="2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442B95C7" w14:textId="77777777"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 </w:t>
            </w:r>
          </w:p>
        </w:tc>
        <w:tc>
          <w:tcPr>
            <w:tcW w:w="4944" w:type="dxa"/>
            <w:tcBorders>
              <w:top w:val="nil"/>
              <w:left w:val="nil"/>
              <w:bottom w:val="single" w:sz="4" w:space="0" w:color="auto"/>
              <w:right w:val="single" w:sz="4" w:space="0" w:color="auto"/>
            </w:tcBorders>
            <w:shd w:val="clear" w:color="auto" w:fill="auto"/>
            <w:noWrap/>
            <w:vAlign w:val="bottom"/>
            <w:hideMark/>
          </w:tcPr>
          <w:p w14:paraId="571DC9FC" w14:textId="77777777" w:rsidR="004914F9" w:rsidRPr="005066BD" w:rsidRDefault="004914F9" w:rsidP="004914F9">
            <w:pPr>
              <w:spacing w:after="0" w:line="240" w:lineRule="auto"/>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 xml:space="preserve">Услуга </w:t>
            </w:r>
            <w:proofErr w:type="spellStart"/>
            <w:r w:rsidRPr="005066BD">
              <w:rPr>
                <w:rFonts w:ascii="Times New Roman" w:eastAsia="Times New Roman" w:hAnsi="Times New Roman" w:cs="Times New Roman"/>
                <w:sz w:val="20"/>
                <w:szCs w:val="20"/>
                <w:lang w:eastAsia="bg-BG"/>
              </w:rPr>
              <w:t>водоподаване</w:t>
            </w:r>
            <w:proofErr w:type="spellEnd"/>
            <w:r w:rsidRPr="005066BD">
              <w:rPr>
                <w:rFonts w:ascii="Times New Roman" w:eastAsia="Times New Roman" w:hAnsi="Times New Roman" w:cs="Times New Roman"/>
                <w:sz w:val="20"/>
                <w:szCs w:val="20"/>
                <w:lang w:eastAsia="bg-BG"/>
              </w:rPr>
              <w:t xml:space="preserve"> </w:t>
            </w:r>
            <w:proofErr w:type="spellStart"/>
            <w:r w:rsidRPr="005066BD">
              <w:rPr>
                <w:rFonts w:ascii="Times New Roman" w:eastAsia="Times New Roman" w:hAnsi="Times New Roman" w:cs="Times New Roman"/>
                <w:sz w:val="20"/>
                <w:szCs w:val="20"/>
                <w:lang w:eastAsia="bg-BG"/>
              </w:rPr>
              <w:t>Басейнова</w:t>
            </w:r>
            <w:proofErr w:type="spellEnd"/>
            <w:r w:rsidRPr="005066BD">
              <w:rPr>
                <w:rFonts w:ascii="Times New Roman" w:eastAsia="Times New Roman" w:hAnsi="Times New Roman" w:cs="Times New Roman"/>
                <w:sz w:val="20"/>
                <w:szCs w:val="20"/>
                <w:lang w:eastAsia="bg-BG"/>
              </w:rPr>
              <w:t xml:space="preserve"> дирекция</w:t>
            </w:r>
          </w:p>
        </w:tc>
        <w:tc>
          <w:tcPr>
            <w:tcW w:w="850" w:type="dxa"/>
            <w:tcBorders>
              <w:top w:val="nil"/>
              <w:left w:val="nil"/>
              <w:bottom w:val="single" w:sz="4" w:space="0" w:color="auto"/>
              <w:right w:val="single" w:sz="4" w:space="0" w:color="auto"/>
            </w:tcBorders>
            <w:shd w:val="clear" w:color="auto" w:fill="auto"/>
            <w:noWrap/>
            <w:vAlign w:val="center"/>
            <w:hideMark/>
          </w:tcPr>
          <w:p w14:paraId="2CDAA875" w14:textId="77777777"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хил. лв.</w:t>
            </w:r>
          </w:p>
        </w:tc>
        <w:tc>
          <w:tcPr>
            <w:tcW w:w="2410" w:type="dxa"/>
            <w:tcBorders>
              <w:top w:val="nil"/>
              <w:left w:val="nil"/>
              <w:bottom w:val="single" w:sz="4" w:space="0" w:color="auto"/>
              <w:right w:val="single" w:sz="4" w:space="0" w:color="auto"/>
            </w:tcBorders>
            <w:shd w:val="clear" w:color="auto" w:fill="auto"/>
            <w:noWrap/>
          </w:tcPr>
          <w:p w14:paraId="7285A4BF" w14:textId="6D3CF9BC"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w:t>
            </w:r>
          </w:p>
        </w:tc>
      </w:tr>
      <w:tr w:rsidR="004914F9" w:rsidRPr="005066BD" w14:paraId="55BD5C6E" w14:textId="77777777" w:rsidTr="00003ED3">
        <w:trPr>
          <w:trHeight w:val="2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4ECDB7D" w14:textId="77777777"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 </w:t>
            </w:r>
          </w:p>
        </w:tc>
        <w:tc>
          <w:tcPr>
            <w:tcW w:w="4944" w:type="dxa"/>
            <w:tcBorders>
              <w:top w:val="nil"/>
              <w:left w:val="nil"/>
              <w:bottom w:val="single" w:sz="4" w:space="0" w:color="auto"/>
              <w:right w:val="single" w:sz="4" w:space="0" w:color="auto"/>
            </w:tcBorders>
            <w:shd w:val="clear" w:color="auto" w:fill="auto"/>
            <w:noWrap/>
            <w:vAlign w:val="bottom"/>
            <w:hideMark/>
          </w:tcPr>
          <w:p w14:paraId="5DAD09F3" w14:textId="77777777" w:rsidR="004914F9" w:rsidRPr="005066BD" w:rsidRDefault="004914F9" w:rsidP="004914F9">
            <w:pPr>
              <w:spacing w:after="0" w:line="240" w:lineRule="auto"/>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Разходи енергия производствени нужди</w:t>
            </w:r>
          </w:p>
        </w:tc>
        <w:tc>
          <w:tcPr>
            <w:tcW w:w="850" w:type="dxa"/>
            <w:tcBorders>
              <w:top w:val="nil"/>
              <w:left w:val="nil"/>
              <w:bottom w:val="single" w:sz="4" w:space="0" w:color="auto"/>
              <w:right w:val="single" w:sz="4" w:space="0" w:color="auto"/>
            </w:tcBorders>
            <w:shd w:val="clear" w:color="auto" w:fill="auto"/>
            <w:noWrap/>
            <w:vAlign w:val="center"/>
            <w:hideMark/>
          </w:tcPr>
          <w:p w14:paraId="52638A50" w14:textId="77777777"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хил. лв.</w:t>
            </w:r>
          </w:p>
        </w:tc>
        <w:tc>
          <w:tcPr>
            <w:tcW w:w="2410" w:type="dxa"/>
            <w:tcBorders>
              <w:top w:val="nil"/>
              <w:left w:val="nil"/>
              <w:bottom w:val="single" w:sz="4" w:space="0" w:color="auto"/>
              <w:right w:val="single" w:sz="4" w:space="0" w:color="auto"/>
            </w:tcBorders>
            <w:shd w:val="clear" w:color="auto" w:fill="auto"/>
            <w:noWrap/>
          </w:tcPr>
          <w:p w14:paraId="49FEF9AE" w14:textId="574586AC"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w:t>
            </w:r>
          </w:p>
        </w:tc>
      </w:tr>
      <w:tr w:rsidR="004914F9" w:rsidRPr="005066BD" w14:paraId="28A8DFEF" w14:textId="77777777" w:rsidTr="00003ED3">
        <w:trPr>
          <w:trHeight w:val="2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C8FC818" w14:textId="77777777"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 </w:t>
            </w:r>
          </w:p>
        </w:tc>
        <w:tc>
          <w:tcPr>
            <w:tcW w:w="4944" w:type="dxa"/>
            <w:tcBorders>
              <w:top w:val="nil"/>
              <w:left w:val="nil"/>
              <w:bottom w:val="single" w:sz="4" w:space="0" w:color="auto"/>
              <w:right w:val="single" w:sz="4" w:space="0" w:color="auto"/>
            </w:tcBorders>
            <w:shd w:val="clear" w:color="auto" w:fill="auto"/>
            <w:noWrap/>
            <w:vAlign w:val="bottom"/>
            <w:hideMark/>
          </w:tcPr>
          <w:p w14:paraId="12FC1C49" w14:textId="77777777" w:rsidR="004914F9" w:rsidRPr="005066BD" w:rsidRDefault="004914F9" w:rsidP="004914F9">
            <w:pPr>
              <w:spacing w:after="0" w:line="240" w:lineRule="auto"/>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 xml:space="preserve">Разходи покупка </w:t>
            </w:r>
            <w:proofErr w:type="spellStart"/>
            <w:r w:rsidRPr="005066BD">
              <w:rPr>
                <w:rFonts w:ascii="Times New Roman" w:eastAsia="Times New Roman" w:hAnsi="Times New Roman" w:cs="Times New Roman"/>
                <w:sz w:val="20"/>
                <w:szCs w:val="20"/>
                <w:lang w:eastAsia="bg-BG"/>
              </w:rPr>
              <w:t>ел.енергия</w:t>
            </w:r>
            <w:proofErr w:type="spellEnd"/>
            <w:r w:rsidRPr="005066BD">
              <w:rPr>
                <w:rFonts w:ascii="Times New Roman" w:eastAsia="Times New Roman" w:hAnsi="Times New Roman" w:cs="Times New Roman"/>
                <w:sz w:val="20"/>
                <w:szCs w:val="20"/>
                <w:lang w:eastAsia="bg-BG"/>
              </w:rPr>
              <w:t xml:space="preserve"> свободен пазар</w:t>
            </w:r>
          </w:p>
        </w:tc>
        <w:tc>
          <w:tcPr>
            <w:tcW w:w="850" w:type="dxa"/>
            <w:tcBorders>
              <w:top w:val="nil"/>
              <w:left w:val="nil"/>
              <w:bottom w:val="single" w:sz="4" w:space="0" w:color="auto"/>
              <w:right w:val="single" w:sz="4" w:space="0" w:color="auto"/>
            </w:tcBorders>
            <w:shd w:val="clear" w:color="auto" w:fill="auto"/>
            <w:noWrap/>
            <w:vAlign w:val="center"/>
            <w:hideMark/>
          </w:tcPr>
          <w:p w14:paraId="6CD5CEA5" w14:textId="77777777"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хил. лв.</w:t>
            </w:r>
          </w:p>
        </w:tc>
        <w:tc>
          <w:tcPr>
            <w:tcW w:w="2410" w:type="dxa"/>
            <w:tcBorders>
              <w:top w:val="nil"/>
              <w:left w:val="nil"/>
              <w:bottom w:val="single" w:sz="4" w:space="0" w:color="auto"/>
              <w:right w:val="single" w:sz="4" w:space="0" w:color="auto"/>
            </w:tcBorders>
            <w:shd w:val="clear" w:color="auto" w:fill="auto"/>
            <w:noWrap/>
          </w:tcPr>
          <w:p w14:paraId="0D91AD0F" w14:textId="214C6B8C"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w:t>
            </w:r>
          </w:p>
        </w:tc>
      </w:tr>
      <w:tr w:rsidR="004914F9" w:rsidRPr="005066BD" w14:paraId="76C4EBA1" w14:textId="77777777" w:rsidTr="00003ED3">
        <w:trPr>
          <w:trHeight w:val="2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1A3923D" w14:textId="77777777"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 </w:t>
            </w:r>
          </w:p>
        </w:tc>
        <w:tc>
          <w:tcPr>
            <w:tcW w:w="4944" w:type="dxa"/>
            <w:tcBorders>
              <w:top w:val="nil"/>
              <w:left w:val="nil"/>
              <w:bottom w:val="single" w:sz="4" w:space="0" w:color="auto"/>
              <w:right w:val="single" w:sz="4" w:space="0" w:color="auto"/>
            </w:tcBorders>
            <w:shd w:val="clear" w:color="auto" w:fill="auto"/>
            <w:noWrap/>
            <w:vAlign w:val="bottom"/>
            <w:hideMark/>
          </w:tcPr>
          <w:p w14:paraId="2B2E13C4" w14:textId="77777777" w:rsidR="004914F9" w:rsidRPr="005066BD" w:rsidRDefault="004914F9" w:rsidP="004914F9">
            <w:pPr>
              <w:spacing w:after="0" w:line="240" w:lineRule="auto"/>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Разходи за балансиращ пазар ЕСО</w:t>
            </w:r>
          </w:p>
        </w:tc>
        <w:tc>
          <w:tcPr>
            <w:tcW w:w="850" w:type="dxa"/>
            <w:tcBorders>
              <w:top w:val="nil"/>
              <w:left w:val="nil"/>
              <w:bottom w:val="single" w:sz="4" w:space="0" w:color="auto"/>
              <w:right w:val="single" w:sz="4" w:space="0" w:color="auto"/>
            </w:tcBorders>
            <w:shd w:val="clear" w:color="auto" w:fill="auto"/>
            <w:noWrap/>
            <w:vAlign w:val="center"/>
            <w:hideMark/>
          </w:tcPr>
          <w:p w14:paraId="21B9055F" w14:textId="77777777"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хил. лв.</w:t>
            </w:r>
          </w:p>
        </w:tc>
        <w:tc>
          <w:tcPr>
            <w:tcW w:w="2410" w:type="dxa"/>
            <w:tcBorders>
              <w:top w:val="nil"/>
              <w:left w:val="nil"/>
              <w:bottom w:val="single" w:sz="4" w:space="0" w:color="auto"/>
              <w:right w:val="single" w:sz="4" w:space="0" w:color="auto"/>
            </w:tcBorders>
            <w:shd w:val="clear" w:color="auto" w:fill="auto"/>
            <w:noWrap/>
          </w:tcPr>
          <w:p w14:paraId="4220936F" w14:textId="0BC6A564"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w:t>
            </w:r>
          </w:p>
        </w:tc>
      </w:tr>
      <w:tr w:rsidR="004914F9" w:rsidRPr="005066BD" w14:paraId="06CDBA44" w14:textId="77777777" w:rsidTr="00003ED3">
        <w:trPr>
          <w:trHeight w:val="2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B906550" w14:textId="77777777"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 </w:t>
            </w:r>
          </w:p>
        </w:tc>
        <w:tc>
          <w:tcPr>
            <w:tcW w:w="4944" w:type="dxa"/>
            <w:tcBorders>
              <w:top w:val="nil"/>
              <w:left w:val="nil"/>
              <w:bottom w:val="single" w:sz="4" w:space="0" w:color="auto"/>
              <w:right w:val="single" w:sz="4" w:space="0" w:color="auto"/>
            </w:tcBorders>
            <w:shd w:val="clear" w:color="auto" w:fill="auto"/>
            <w:noWrap/>
            <w:vAlign w:val="bottom"/>
            <w:hideMark/>
          </w:tcPr>
          <w:p w14:paraId="6D8BA891" w14:textId="77777777" w:rsidR="004914F9" w:rsidRPr="005066BD" w:rsidRDefault="004914F9" w:rsidP="004914F9">
            <w:pPr>
              <w:spacing w:after="0" w:line="240" w:lineRule="auto"/>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 xml:space="preserve">Депониране на </w:t>
            </w:r>
            <w:proofErr w:type="spellStart"/>
            <w:r w:rsidRPr="005066BD">
              <w:rPr>
                <w:rFonts w:ascii="Times New Roman" w:eastAsia="Times New Roman" w:hAnsi="Times New Roman" w:cs="Times New Roman"/>
                <w:sz w:val="20"/>
                <w:szCs w:val="20"/>
                <w:lang w:eastAsia="bg-BG"/>
              </w:rPr>
              <w:t>пепелина</w:t>
            </w:r>
            <w:proofErr w:type="spellEnd"/>
            <w:r w:rsidRPr="005066BD">
              <w:rPr>
                <w:rFonts w:ascii="Times New Roman" w:eastAsia="Times New Roman" w:hAnsi="Times New Roman" w:cs="Times New Roman"/>
                <w:sz w:val="20"/>
                <w:szCs w:val="20"/>
                <w:lang w:eastAsia="bg-BG"/>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21CEC248" w14:textId="77777777"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хил. лв.</w:t>
            </w:r>
          </w:p>
        </w:tc>
        <w:tc>
          <w:tcPr>
            <w:tcW w:w="2410" w:type="dxa"/>
            <w:tcBorders>
              <w:top w:val="nil"/>
              <w:left w:val="nil"/>
              <w:bottom w:val="single" w:sz="4" w:space="0" w:color="auto"/>
              <w:right w:val="single" w:sz="4" w:space="0" w:color="auto"/>
            </w:tcBorders>
            <w:shd w:val="clear" w:color="auto" w:fill="auto"/>
            <w:noWrap/>
          </w:tcPr>
          <w:p w14:paraId="5FBA3D47" w14:textId="5EC3A466"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w:t>
            </w:r>
          </w:p>
        </w:tc>
      </w:tr>
      <w:tr w:rsidR="004914F9" w:rsidRPr="005066BD" w14:paraId="0EB57668" w14:textId="77777777" w:rsidTr="00534E36">
        <w:trPr>
          <w:trHeight w:val="2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D6F84A4" w14:textId="77777777"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 </w:t>
            </w:r>
          </w:p>
        </w:tc>
        <w:tc>
          <w:tcPr>
            <w:tcW w:w="4944" w:type="dxa"/>
            <w:tcBorders>
              <w:top w:val="nil"/>
              <w:left w:val="nil"/>
              <w:bottom w:val="single" w:sz="4" w:space="0" w:color="auto"/>
              <w:right w:val="single" w:sz="4" w:space="0" w:color="auto"/>
            </w:tcBorders>
            <w:shd w:val="clear" w:color="auto" w:fill="auto"/>
            <w:noWrap/>
            <w:vAlign w:val="bottom"/>
            <w:hideMark/>
          </w:tcPr>
          <w:p w14:paraId="5A405B6C" w14:textId="77777777" w:rsidR="004914F9" w:rsidRPr="005066BD" w:rsidRDefault="004914F9" w:rsidP="004914F9">
            <w:pPr>
              <w:spacing w:after="0" w:line="240" w:lineRule="auto"/>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Разходи за закупени емисии квоти СО2</w:t>
            </w:r>
          </w:p>
        </w:tc>
        <w:tc>
          <w:tcPr>
            <w:tcW w:w="850" w:type="dxa"/>
            <w:tcBorders>
              <w:top w:val="nil"/>
              <w:left w:val="nil"/>
              <w:bottom w:val="single" w:sz="4" w:space="0" w:color="auto"/>
              <w:right w:val="single" w:sz="4" w:space="0" w:color="auto"/>
            </w:tcBorders>
            <w:shd w:val="clear" w:color="auto" w:fill="auto"/>
            <w:noWrap/>
            <w:vAlign w:val="center"/>
            <w:hideMark/>
          </w:tcPr>
          <w:p w14:paraId="720021E3" w14:textId="77777777"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хил. лв.</w:t>
            </w:r>
          </w:p>
        </w:tc>
        <w:tc>
          <w:tcPr>
            <w:tcW w:w="2410" w:type="dxa"/>
            <w:tcBorders>
              <w:top w:val="nil"/>
              <w:left w:val="nil"/>
              <w:bottom w:val="single" w:sz="4" w:space="0" w:color="auto"/>
              <w:right w:val="single" w:sz="4" w:space="0" w:color="auto"/>
            </w:tcBorders>
            <w:shd w:val="clear" w:color="auto" w:fill="auto"/>
            <w:noWrap/>
          </w:tcPr>
          <w:p w14:paraId="2CE2AA8C" w14:textId="264BE40F"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w:t>
            </w:r>
          </w:p>
        </w:tc>
      </w:tr>
      <w:tr w:rsidR="004914F9" w:rsidRPr="005066BD" w14:paraId="5D0FAD28" w14:textId="77777777" w:rsidTr="00534E36">
        <w:trPr>
          <w:trHeight w:val="2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28C3A70" w14:textId="77777777"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 </w:t>
            </w:r>
          </w:p>
        </w:tc>
        <w:tc>
          <w:tcPr>
            <w:tcW w:w="4944" w:type="dxa"/>
            <w:tcBorders>
              <w:top w:val="nil"/>
              <w:left w:val="nil"/>
              <w:bottom w:val="single" w:sz="4" w:space="0" w:color="auto"/>
              <w:right w:val="single" w:sz="4" w:space="0" w:color="auto"/>
            </w:tcBorders>
            <w:shd w:val="clear" w:color="auto" w:fill="auto"/>
            <w:noWrap/>
            <w:vAlign w:val="bottom"/>
            <w:hideMark/>
          </w:tcPr>
          <w:p w14:paraId="38AABF8B" w14:textId="77777777" w:rsidR="004914F9" w:rsidRPr="005066BD" w:rsidRDefault="004914F9" w:rsidP="004914F9">
            <w:pPr>
              <w:spacing w:after="0" w:line="240" w:lineRule="auto"/>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Разходи за емисии квоти СО2, закупени от НПИ</w:t>
            </w:r>
          </w:p>
        </w:tc>
        <w:tc>
          <w:tcPr>
            <w:tcW w:w="850" w:type="dxa"/>
            <w:tcBorders>
              <w:top w:val="nil"/>
              <w:left w:val="nil"/>
              <w:bottom w:val="single" w:sz="4" w:space="0" w:color="auto"/>
              <w:right w:val="single" w:sz="4" w:space="0" w:color="auto"/>
            </w:tcBorders>
            <w:shd w:val="clear" w:color="auto" w:fill="auto"/>
            <w:noWrap/>
            <w:vAlign w:val="center"/>
            <w:hideMark/>
          </w:tcPr>
          <w:p w14:paraId="0982FDB5" w14:textId="77777777"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хил. лв.</w:t>
            </w:r>
          </w:p>
        </w:tc>
        <w:tc>
          <w:tcPr>
            <w:tcW w:w="2410" w:type="dxa"/>
            <w:tcBorders>
              <w:top w:val="nil"/>
              <w:left w:val="nil"/>
              <w:bottom w:val="single" w:sz="4" w:space="0" w:color="auto"/>
              <w:right w:val="single" w:sz="4" w:space="0" w:color="auto"/>
            </w:tcBorders>
            <w:shd w:val="clear" w:color="auto" w:fill="auto"/>
            <w:noWrap/>
          </w:tcPr>
          <w:p w14:paraId="52A3480B" w14:textId="4878E07A"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w:t>
            </w:r>
          </w:p>
        </w:tc>
      </w:tr>
      <w:tr w:rsidR="004914F9" w:rsidRPr="005066BD" w14:paraId="1CC593CC" w14:textId="77777777" w:rsidTr="00534E36">
        <w:trPr>
          <w:trHeight w:val="2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D72B0B2" w14:textId="77777777"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 </w:t>
            </w:r>
          </w:p>
        </w:tc>
        <w:tc>
          <w:tcPr>
            <w:tcW w:w="4944" w:type="dxa"/>
            <w:tcBorders>
              <w:top w:val="nil"/>
              <w:left w:val="nil"/>
              <w:bottom w:val="single" w:sz="4" w:space="0" w:color="auto"/>
              <w:right w:val="single" w:sz="4" w:space="0" w:color="auto"/>
            </w:tcBorders>
            <w:shd w:val="clear" w:color="auto" w:fill="auto"/>
            <w:noWrap/>
            <w:vAlign w:val="bottom"/>
            <w:hideMark/>
          </w:tcPr>
          <w:p w14:paraId="73F17C58" w14:textId="77777777" w:rsidR="004914F9" w:rsidRPr="005066BD" w:rsidRDefault="004914F9" w:rsidP="004914F9">
            <w:pPr>
              <w:spacing w:after="0" w:line="240" w:lineRule="auto"/>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 xml:space="preserve">Разходи за </w:t>
            </w:r>
            <w:proofErr w:type="spellStart"/>
            <w:r w:rsidRPr="005066BD">
              <w:rPr>
                <w:rFonts w:ascii="Times New Roman" w:eastAsia="Times New Roman" w:hAnsi="Times New Roman" w:cs="Times New Roman"/>
                <w:sz w:val="20"/>
                <w:szCs w:val="20"/>
                <w:lang w:eastAsia="bg-BG"/>
              </w:rPr>
              <w:t>некомпенсирани.емисии</w:t>
            </w:r>
            <w:proofErr w:type="spellEnd"/>
            <w:r w:rsidRPr="005066BD">
              <w:rPr>
                <w:rFonts w:ascii="Times New Roman" w:eastAsia="Times New Roman" w:hAnsi="Times New Roman" w:cs="Times New Roman"/>
                <w:sz w:val="20"/>
                <w:szCs w:val="20"/>
                <w:lang w:eastAsia="bg-BG"/>
              </w:rPr>
              <w:t xml:space="preserve"> квоти СО2</w:t>
            </w:r>
          </w:p>
        </w:tc>
        <w:tc>
          <w:tcPr>
            <w:tcW w:w="850" w:type="dxa"/>
            <w:tcBorders>
              <w:top w:val="nil"/>
              <w:left w:val="nil"/>
              <w:bottom w:val="single" w:sz="4" w:space="0" w:color="auto"/>
              <w:right w:val="single" w:sz="4" w:space="0" w:color="auto"/>
            </w:tcBorders>
            <w:shd w:val="clear" w:color="auto" w:fill="auto"/>
            <w:noWrap/>
            <w:vAlign w:val="center"/>
            <w:hideMark/>
          </w:tcPr>
          <w:p w14:paraId="123C3A73" w14:textId="77777777"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хил. лв.</w:t>
            </w:r>
          </w:p>
        </w:tc>
        <w:tc>
          <w:tcPr>
            <w:tcW w:w="2410" w:type="dxa"/>
            <w:tcBorders>
              <w:top w:val="nil"/>
              <w:left w:val="nil"/>
              <w:bottom w:val="single" w:sz="4" w:space="0" w:color="auto"/>
              <w:right w:val="single" w:sz="4" w:space="0" w:color="auto"/>
            </w:tcBorders>
            <w:shd w:val="clear" w:color="auto" w:fill="auto"/>
            <w:noWrap/>
          </w:tcPr>
          <w:p w14:paraId="780CC3EF" w14:textId="604877AB"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w:t>
            </w:r>
          </w:p>
        </w:tc>
      </w:tr>
      <w:tr w:rsidR="004914F9" w:rsidRPr="005066BD" w14:paraId="6BCCBA21" w14:textId="77777777" w:rsidTr="00803A90">
        <w:trPr>
          <w:trHeight w:val="11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2C3C935" w14:textId="77777777" w:rsidR="004914F9" w:rsidRPr="005066BD" w:rsidRDefault="004914F9" w:rsidP="004914F9">
            <w:pPr>
              <w:spacing w:after="0" w:line="240" w:lineRule="auto"/>
              <w:jc w:val="center"/>
              <w:rPr>
                <w:rFonts w:ascii="Times New Roman" w:eastAsia="Times New Roman" w:hAnsi="Times New Roman" w:cs="Times New Roman"/>
                <w:b/>
                <w:bCs/>
                <w:sz w:val="20"/>
                <w:szCs w:val="20"/>
                <w:lang w:eastAsia="bg-BG"/>
              </w:rPr>
            </w:pPr>
            <w:r w:rsidRPr="005066BD">
              <w:rPr>
                <w:rFonts w:ascii="Times New Roman" w:eastAsia="Times New Roman" w:hAnsi="Times New Roman" w:cs="Times New Roman"/>
                <w:b/>
                <w:bCs/>
                <w:sz w:val="20"/>
                <w:szCs w:val="20"/>
                <w:lang w:eastAsia="bg-BG"/>
              </w:rPr>
              <w:t>4</w:t>
            </w:r>
          </w:p>
        </w:tc>
        <w:tc>
          <w:tcPr>
            <w:tcW w:w="4944" w:type="dxa"/>
            <w:tcBorders>
              <w:top w:val="nil"/>
              <w:left w:val="nil"/>
              <w:bottom w:val="single" w:sz="4" w:space="0" w:color="auto"/>
              <w:right w:val="single" w:sz="4" w:space="0" w:color="auto"/>
            </w:tcBorders>
            <w:shd w:val="clear" w:color="auto" w:fill="auto"/>
            <w:vAlign w:val="center"/>
            <w:hideMark/>
          </w:tcPr>
          <w:p w14:paraId="0C0AD6C4" w14:textId="03F76AD9" w:rsidR="004914F9" w:rsidRPr="005066BD" w:rsidRDefault="004914F9" w:rsidP="004914F9">
            <w:pPr>
              <w:spacing w:after="0" w:line="240" w:lineRule="auto"/>
              <w:rPr>
                <w:rFonts w:ascii="Times New Roman" w:eastAsia="Times New Roman" w:hAnsi="Times New Roman" w:cs="Times New Roman"/>
                <w:b/>
                <w:bCs/>
                <w:sz w:val="20"/>
                <w:szCs w:val="20"/>
                <w:lang w:eastAsia="bg-BG"/>
              </w:rPr>
            </w:pPr>
            <w:r w:rsidRPr="005066BD">
              <w:rPr>
                <w:rFonts w:ascii="Times New Roman" w:eastAsia="Times New Roman" w:hAnsi="Times New Roman" w:cs="Times New Roman"/>
                <w:b/>
                <w:bCs/>
                <w:sz w:val="20"/>
                <w:szCs w:val="20"/>
                <w:lang w:eastAsia="bg-BG"/>
              </w:rPr>
              <w:t>Вноски за фонд "Безопасност и съхраняване на радиоактивни отпадъци" и за фонд "Извеждане на ядрени съоръжения от експлоатация"</w:t>
            </w:r>
          </w:p>
        </w:tc>
        <w:tc>
          <w:tcPr>
            <w:tcW w:w="850" w:type="dxa"/>
            <w:tcBorders>
              <w:top w:val="nil"/>
              <w:left w:val="nil"/>
              <w:bottom w:val="single" w:sz="4" w:space="0" w:color="auto"/>
              <w:right w:val="single" w:sz="4" w:space="0" w:color="auto"/>
            </w:tcBorders>
            <w:shd w:val="clear" w:color="auto" w:fill="auto"/>
            <w:noWrap/>
            <w:vAlign w:val="center"/>
            <w:hideMark/>
          </w:tcPr>
          <w:p w14:paraId="16DDCEE2" w14:textId="77777777" w:rsidR="004914F9" w:rsidRPr="005066BD" w:rsidRDefault="004914F9" w:rsidP="004914F9">
            <w:pPr>
              <w:spacing w:after="0" w:line="240" w:lineRule="auto"/>
              <w:jc w:val="center"/>
              <w:rPr>
                <w:rFonts w:ascii="Times New Roman" w:eastAsia="Times New Roman" w:hAnsi="Times New Roman" w:cs="Times New Roman"/>
                <w:b/>
                <w:bCs/>
                <w:sz w:val="20"/>
                <w:szCs w:val="20"/>
                <w:lang w:eastAsia="bg-BG"/>
              </w:rPr>
            </w:pPr>
            <w:r w:rsidRPr="005066BD">
              <w:rPr>
                <w:rFonts w:ascii="Times New Roman" w:eastAsia="Times New Roman" w:hAnsi="Times New Roman" w:cs="Times New Roman"/>
                <w:b/>
                <w:bCs/>
                <w:sz w:val="20"/>
                <w:szCs w:val="20"/>
                <w:lang w:eastAsia="bg-BG"/>
              </w:rPr>
              <w:t>хил. лв.</w:t>
            </w:r>
          </w:p>
        </w:tc>
        <w:tc>
          <w:tcPr>
            <w:tcW w:w="2410" w:type="dxa"/>
            <w:tcBorders>
              <w:top w:val="nil"/>
              <w:left w:val="nil"/>
              <w:bottom w:val="single" w:sz="4" w:space="0" w:color="auto"/>
              <w:right w:val="single" w:sz="4" w:space="0" w:color="auto"/>
            </w:tcBorders>
            <w:shd w:val="clear" w:color="auto" w:fill="auto"/>
            <w:noWrap/>
            <w:vAlign w:val="center"/>
            <w:hideMark/>
          </w:tcPr>
          <w:p w14:paraId="4E45EE1D" w14:textId="77777777" w:rsidR="004914F9" w:rsidRPr="005066BD" w:rsidRDefault="004914F9" w:rsidP="004914F9">
            <w:pPr>
              <w:spacing w:after="0" w:line="240" w:lineRule="auto"/>
              <w:jc w:val="center"/>
              <w:rPr>
                <w:rFonts w:ascii="Times New Roman" w:eastAsia="Times New Roman" w:hAnsi="Times New Roman" w:cs="Times New Roman"/>
                <w:sz w:val="20"/>
                <w:szCs w:val="20"/>
                <w:lang w:eastAsia="bg-BG"/>
              </w:rPr>
            </w:pPr>
            <w:r w:rsidRPr="005066BD">
              <w:rPr>
                <w:rFonts w:ascii="Times New Roman" w:eastAsia="Times New Roman" w:hAnsi="Times New Roman" w:cs="Times New Roman"/>
                <w:sz w:val="20"/>
                <w:szCs w:val="20"/>
                <w:lang w:eastAsia="bg-BG"/>
              </w:rPr>
              <w:t> </w:t>
            </w:r>
          </w:p>
        </w:tc>
      </w:tr>
    </w:tbl>
    <w:p w14:paraId="56DA655A" w14:textId="280D7DE6" w:rsidR="00952CF5" w:rsidRPr="00562E74" w:rsidRDefault="005066BD" w:rsidP="00B57AFB">
      <w:pPr>
        <w:pStyle w:val="ListParagraph"/>
        <w:spacing w:line="240" w:lineRule="auto"/>
        <w:rPr>
          <w:rFonts w:ascii="Times New Roman" w:hAnsi="Times New Roman" w:cs="Times New Roman"/>
          <w:b/>
          <w:sz w:val="24"/>
          <w:szCs w:val="24"/>
          <w:lang w:val="en-US" w:eastAsia="bg-BG"/>
        </w:rPr>
      </w:pPr>
      <w:r>
        <w:rPr>
          <w:rFonts w:ascii="Times New Roman" w:hAnsi="Times New Roman" w:cs="Times New Roman"/>
          <w:b/>
          <w:sz w:val="24"/>
          <w:szCs w:val="24"/>
          <w:lang w:val="en-US" w:eastAsia="bg-BG"/>
        </w:rPr>
        <w:fldChar w:fldCharType="end"/>
      </w:r>
      <w:r w:rsidR="00952CF5">
        <w:rPr>
          <w:rFonts w:ascii="Times New Roman" w:hAnsi="Times New Roman" w:cs="Times New Roman"/>
          <w:b/>
          <w:sz w:val="24"/>
          <w:szCs w:val="24"/>
          <w:lang w:val="en-US" w:eastAsia="bg-BG"/>
        </w:rPr>
        <w:t xml:space="preserve">                                                    </w:t>
      </w:r>
    </w:p>
    <w:p w14:paraId="052CE43D" w14:textId="77777777" w:rsidR="000E3181" w:rsidRDefault="000E3181" w:rsidP="003D51C0">
      <w:pPr>
        <w:pStyle w:val="ListParagraph"/>
        <w:spacing w:after="0" w:line="240" w:lineRule="auto"/>
        <w:ind w:left="1275"/>
        <w:jc w:val="both"/>
        <w:rPr>
          <w:rFonts w:ascii="Times New Roman" w:eastAsia="Times New Roman" w:hAnsi="Times New Roman" w:cs="Times New Roman"/>
          <w:b/>
          <w:sz w:val="24"/>
          <w:szCs w:val="24"/>
          <w:lang w:eastAsia="bg-BG"/>
        </w:rPr>
      </w:pPr>
    </w:p>
    <w:p w14:paraId="66D91F7B" w14:textId="0D987D6A" w:rsidR="000C336E" w:rsidRPr="0052294B" w:rsidRDefault="000C336E" w:rsidP="003D51C0">
      <w:pPr>
        <w:spacing w:after="120" w:line="240" w:lineRule="auto"/>
        <w:jc w:val="both"/>
        <w:rPr>
          <w:rFonts w:ascii="Times New Roman" w:eastAsia="Calibri" w:hAnsi="Times New Roman" w:cs="Times New Roman"/>
          <w:sz w:val="24"/>
          <w:szCs w:val="24"/>
        </w:rPr>
      </w:pPr>
      <w:r w:rsidRPr="0052294B">
        <w:rPr>
          <w:rFonts w:ascii="Times New Roman" w:eastAsia="Calibri" w:hAnsi="Times New Roman" w:cs="Times New Roman"/>
          <w:sz w:val="24"/>
          <w:szCs w:val="24"/>
        </w:rPr>
        <w:t>Производствената програма на „ТЕЦ Марица изток 2“ ЕАД за новия ценови пери</w:t>
      </w:r>
      <w:r w:rsidR="00B6448A" w:rsidRPr="0052294B">
        <w:rPr>
          <w:rFonts w:ascii="Times New Roman" w:eastAsia="Calibri" w:hAnsi="Times New Roman" w:cs="Times New Roman"/>
          <w:sz w:val="24"/>
          <w:szCs w:val="24"/>
        </w:rPr>
        <w:t>од</w:t>
      </w:r>
      <w:r w:rsidR="000E3181" w:rsidRPr="0052294B">
        <w:rPr>
          <w:rFonts w:ascii="Times New Roman" w:eastAsia="Calibri" w:hAnsi="Times New Roman" w:cs="Times New Roman"/>
          <w:sz w:val="24"/>
          <w:szCs w:val="24"/>
        </w:rPr>
        <w:t xml:space="preserve"> предвижда производството на </w:t>
      </w:r>
      <w:r w:rsidR="0066193B">
        <w:rPr>
          <w:rFonts w:ascii="Times New Roman" w:eastAsia="Calibri" w:hAnsi="Times New Roman" w:cs="Times New Roman"/>
          <w:sz w:val="24"/>
          <w:szCs w:val="24"/>
        </w:rPr>
        <w:t>……………..</w:t>
      </w:r>
      <w:r w:rsidRPr="0052294B">
        <w:rPr>
          <w:rFonts w:ascii="Times New Roman" w:eastAsia="Calibri" w:hAnsi="Times New Roman" w:cs="Times New Roman"/>
          <w:sz w:val="24"/>
          <w:szCs w:val="24"/>
        </w:rPr>
        <w:t xml:space="preserve"> </w:t>
      </w:r>
      <w:proofErr w:type="spellStart"/>
      <w:r w:rsidRPr="0052294B">
        <w:rPr>
          <w:rFonts w:ascii="Times New Roman" w:eastAsia="Calibri" w:hAnsi="Times New Roman" w:cs="Times New Roman"/>
          <w:sz w:val="24"/>
          <w:szCs w:val="24"/>
        </w:rPr>
        <w:t>МВтч</w:t>
      </w:r>
      <w:proofErr w:type="spellEnd"/>
      <w:r w:rsidRPr="0052294B">
        <w:rPr>
          <w:rFonts w:ascii="Times New Roman" w:eastAsia="Calibri" w:hAnsi="Times New Roman" w:cs="Times New Roman"/>
          <w:sz w:val="24"/>
          <w:szCs w:val="24"/>
        </w:rPr>
        <w:t xml:space="preserve"> нетна електрическа енергия. </w:t>
      </w:r>
      <w:r w:rsidRPr="0052294B">
        <w:rPr>
          <w:rFonts w:ascii="Times New Roman" w:eastAsia="Calibri" w:hAnsi="Times New Roman" w:cs="Times New Roman"/>
          <w:b/>
          <w:bCs/>
          <w:sz w:val="24"/>
          <w:szCs w:val="24"/>
        </w:rPr>
        <w:t xml:space="preserve">Общата стойност на променливите разходи, </w:t>
      </w:r>
      <w:r w:rsidR="00A22737" w:rsidRPr="0052294B">
        <w:rPr>
          <w:rFonts w:ascii="Times New Roman" w:eastAsia="Calibri" w:hAnsi="Times New Roman" w:cs="Times New Roman"/>
          <w:b/>
          <w:bCs/>
          <w:sz w:val="24"/>
          <w:szCs w:val="24"/>
        </w:rPr>
        <w:t xml:space="preserve">които участват при формирането на цената са в размер на </w:t>
      </w:r>
      <w:r w:rsidR="0066193B">
        <w:rPr>
          <w:rFonts w:ascii="Times New Roman" w:eastAsia="Calibri" w:hAnsi="Times New Roman" w:cs="Times New Roman"/>
          <w:b/>
          <w:bCs/>
          <w:sz w:val="24"/>
          <w:szCs w:val="24"/>
        </w:rPr>
        <w:t>………….</w:t>
      </w:r>
      <w:r w:rsidR="000E3181" w:rsidRPr="0052294B">
        <w:rPr>
          <w:rFonts w:ascii="Times New Roman" w:eastAsia="Calibri" w:hAnsi="Times New Roman" w:cs="Times New Roman"/>
          <w:b/>
          <w:bCs/>
          <w:sz w:val="24"/>
          <w:szCs w:val="24"/>
        </w:rPr>
        <w:t xml:space="preserve"> </w:t>
      </w:r>
      <w:r w:rsidRPr="0052294B">
        <w:rPr>
          <w:rFonts w:ascii="Times New Roman" w:eastAsia="Calibri" w:hAnsi="Times New Roman" w:cs="Times New Roman"/>
          <w:b/>
          <w:bCs/>
          <w:sz w:val="24"/>
          <w:szCs w:val="24"/>
        </w:rPr>
        <w:t>хил. лв</w:t>
      </w:r>
      <w:r w:rsidRPr="0052294B">
        <w:rPr>
          <w:rFonts w:ascii="Times New Roman" w:eastAsia="Calibri" w:hAnsi="Times New Roman" w:cs="Times New Roman"/>
          <w:sz w:val="24"/>
          <w:szCs w:val="24"/>
        </w:rPr>
        <w:t xml:space="preserve">., като тук се включват горива за производство: </w:t>
      </w:r>
      <w:r w:rsidRPr="0052294B">
        <w:rPr>
          <w:rFonts w:ascii="Times New Roman" w:eastAsia="Calibri" w:hAnsi="Times New Roman" w:cs="Times New Roman"/>
          <w:b/>
          <w:sz w:val="24"/>
          <w:szCs w:val="24"/>
        </w:rPr>
        <w:t>местни въглища от „Мини Марица изток“ ЕАД</w:t>
      </w:r>
      <w:r w:rsidRPr="0052294B">
        <w:rPr>
          <w:rFonts w:ascii="Times New Roman" w:eastAsia="Calibri" w:hAnsi="Times New Roman" w:cs="Times New Roman"/>
          <w:sz w:val="24"/>
          <w:szCs w:val="24"/>
        </w:rPr>
        <w:t xml:space="preserve">, котелно гориво (мазут), природен газ, разходи за СО2 квоти , консумативи: варовик, химически реагенти и смазочни </w:t>
      </w:r>
      <w:r w:rsidRPr="0052294B">
        <w:rPr>
          <w:rFonts w:ascii="Times New Roman" w:eastAsia="Calibri" w:hAnsi="Times New Roman" w:cs="Times New Roman"/>
          <w:sz w:val="24"/>
          <w:szCs w:val="24"/>
        </w:rPr>
        <w:lastRenderedPageBreak/>
        <w:t>материали, други променливи разходи: услуга водоподаване, енергия за собствени нужди, депониране на пепелина. Допълнителната информация за отделните групи променливи разходи, е както следва:</w:t>
      </w:r>
    </w:p>
    <w:p w14:paraId="3299927F" w14:textId="1841F46C" w:rsidR="000C336E" w:rsidRPr="0052294B" w:rsidRDefault="000C336E" w:rsidP="003D51C0">
      <w:pPr>
        <w:numPr>
          <w:ilvl w:val="0"/>
          <w:numId w:val="4"/>
        </w:numPr>
        <w:spacing w:after="120" w:line="240" w:lineRule="auto"/>
        <w:ind w:left="0" w:firstLine="0"/>
        <w:jc w:val="both"/>
        <w:rPr>
          <w:rFonts w:ascii="Times New Roman" w:eastAsia="Calibri" w:hAnsi="Times New Roman" w:cs="Times New Roman"/>
          <w:bCs/>
          <w:sz w:val="24"/>
          <w:szCs w:val="24"/>
        </w:rPr>
      </w:pPr>
      <w:r w:rsidRPr="0052294B">
        <w:rPr>
          <w:rFonts w:ascii="Times New Roman" w:eastAsia="Calibri" w:hAnsi="Times New Roman" w:cs="Times New Roman"/>
          <w:bCs/>
          <w:sz w:val="24"/>
          <w:szCs w:val="24"/>
        </w:rPr>
        <w:t xml:space="preserve">Основното гориво, използвано в “ТЕЦ Марица изток 2” ЕАД, са въглища </w:t>
      </w:r>
      <w:r w:rsidRPr="0052294B">
        <w:rPr>
          <w:rFonts w:ascii="Times New Roman" w:eastAsia="Times New Roman" w:hAnsi="Times New Roman" w:cs="Times New Roman"/>
          <w:sz w:val="24"/>
          <w:szCs w:val="24"/>
          <w:lang w:val="ru-RU" w:eastAsia="bg-BG"/>
        </w:rPr>
        <w:t>добивани от „Мини Марица изток” ЕАД в Източномаришкия енергиен комплекс, които се характеризират от една страна с високо сярно и пепелно съдържание и влажност, а от друга и с много ниска калоричност.</w:t>
      </w:r>
      <w:r w:rsidR="00B6448A" w:rsidRPr="0052294B">
        <w:rPr>
          <w:rFonts w:ascii="Times New Roman" w:eastAsia="Calibri" w:hAnsi="Times New Roman" w:cs="Times New Roman"/>
          <w:bCs/>
          <w:sz w:val="24"/>
          <w:szCs w:val="24"/>
        </w:rPr>
        <w:t xml:space="preserve"> </w:t>
      </w:r>
      <w:r w:rsidRPr="0052294B">
        <w:rPr>
          <w:rFonts w:ascii="Times New Roman" w:eastAsia="Calibri" w:hAnsi="Times New Roman" w:cs="Times New Roman"/>
          <w:bCs/>
          <w:sz w:val="24"/>
          <w:szCs w:val="24"/>
        </w:rPr>
        <w:t xml:space="preserve">Общата стойност на планираните разходи за въглища възлиза на </w:t>
      </w:r>
      <w:r w:rsidR="0066193B">
        <w:rPr>
          <w:rFonts w:ascii="Times New Roman" w:eastAsia="Calibri" w:hAnsi="Times New Roman" w:cs="Times New Roman"/>
          <w:bCs/>
          <w:sz w:val="24"/>
          <w:szCs w:val="24"/>
        </w:rPr>
        <w:t>……….</w:t>
      </w:r>
      <w:r w:rsidRPr="0052294B">
        <w:rPr>
          <w:rFonts w:ascii="Times New Roman" w:eastAsia="Calibri" w:hAnsi="Times New Roman" w:cs="Times New Roman"/>
          <w:b/>
          <w:bCs/>
          <w:sz w:val="24"/>
          <w:szCs w:val="24"/>
        </w:rPr>
        <w:t xml:space="preserve"> хил.</w:t>
      </w:r>
      <w:r w:rsidR="00B6448A" w:rsidRPr="0052294B">
        <w:rPr>
          <w:rFonts w:ascii="Times New Roman" w:eastAsia="Calibri" w:hAnsi="Times New Roman" w:cs="Times New Roman"/>
          <w:b/>
          <w:bCs/>
          <w:sz w:val="24"/>
          <w:szCs w:val="24"/>
        </w:rPr>
        <w:t xml:space="preserve"> </w:t>
      </w:r>
      <w:r w:rsidRPr="0052294B">
        <w:rPr>
          <w:rFonts w:ascii="Times New Roman" w:eastAsia="Calibri" w:hAnsi="Times New Roman" w:cs="Times New Roman"/>
          <w:b/>
          <w:bCs/>
          <w:sz w:val="24"/>
          <w:szCs w:val="24"/>
        </w:rPr>
        <w:t>лв</w:t>
      </w:r>
      <w:r w:rsidR="00B40E74" w:rsidRPr="0052294B">
        <w:rPr>
          <w:rFonts w:ascii="Times New Roman" w:eastAsia="Calibri" w:hAnsi="Times New Roman" w:cs="Times New Roman"/>
          <w:bCs/>
          <w:sz w:val="24"/>
          <w:szCs w:val="24"/>
        </w:rPr>
        <w:t xml:space="preserve">. </w:t>
      </w:r>
      <w:r w:rsidR="00B40E74" w:rsidRPr="0052294B">
        <w:rPr>
          <w:rFonts w:ascii="Times New Roman" w:eastAsia="Calibri" w:hAnsi="Times New Roman" w:cs="Times New Roman"/>
          <w:b/>
          <w:bCs/>
          <w:sz w:val="24"/>
          <w:szCs w:val="24"/>
        </w:rPr>
        <w:t xml:space="preserve">при </w:t>
      </w:r>
      <w:r w:rsidRPr="0052294B">
        <w:rPr>
          <w:rFonts w:ascii="Times New Roman" w:eastAsia="Calibri" w:hAnsi="Times New Roman" w:cs="Times New Roman"/>
          <w:b/>
          <w:bCs/>
          <w:sz w:val="24"/>
          <w:szCs w:val="24"/>
        </w:rPr>
        <w:t>цена</w:t>
      </w:r>
      <w:r w:rsidR="00B40E74" w:rsidRPr="0052294B">
        <w:rPr>
          <w:rFonts w:ascii="Times New Roman" w:eastAsia="Calibri" w:hAnsi="Times New Roman" w:cs="Times New Roman"/>
          <w:b/>
          <w:bCs/>
          <w:sz w:val="24"/>
          <w:szCs w:val="24"/>
        </w:rPr>
        <w:t xml:space="preserve"> на въглищата от 01.</w:t>
      </w:r>
      <w:r w:rsidR="004B2C9F" w:rsidRPr="0052294B">
        <w:rPr>
          <w:rFonts w:ascii="Times New Roman" w:eastAsia="Calibri" w:hAnsi="Times New Roman" w:cs="Times New Roman"/>
          <w:b/>
          <w:bCs/>
          <w:sz w:val="24"/>
          <w:szCs w:val="24"/>
        </w:rPr>
        <w:t>03</w:t>
      </w:r>
      <w:r w:rsidR="00B40E74" w:rsidRPr="0052294B">
        <w:rPr>
          <w:rFonts w:ascii="Times New Roman" w:eastAsia="Calibri" w:hAnsi="Times New Roman" w:cs="Times New Roman"/>
          <w:b/>
          <w:bCs/>
          <w:sz w:val="24"/>
          <w:szCs w:val="24"/>
        </w:rPr>
        <w:t>.2022 г. в размер на</w:t>
      </w:r>
      <w:r w:rsidRPr="0052294B">
        <w:rPr>
          <w:rFonts w:ascii="Times New Roman" w:eastAsia="Calibri" w:hAnsi="Times New Roman" w:cs="Times New Roman"/>
          <w:b/>
          <w:bCs/>
          <w:sz w:val="24"/>
          <w:szCs w:val="24"/>
        </w:rPr>
        <w:t xml:space="preserve"> </w:t>
      </w:r>
      <w:r w:rsidR="0066193B">
        <w:rPr>
          <w:rFonts w:ascii="Times New Roman" w:eastAsia="Calibri" w:hAnsi="Times New Roman" w:cs="Times New Roman"/>
          <w:b/>
          <w:bCs/>
          <w:sz w:val="24"/>
          <w:szCs w:val="24"/>
        </w:rPr>
        <w:t>……..</w:t>
      </w:r>
      <w:r w:rsidRPr="0052294B">
        <w:rPr>
          <w:rFonts w:ascii="Times New Roman" w:eastAsia="Calibri" w:hAnsi="Times New Roman" w:cs="Times New Roman"/>
          <w:b/>
          <w:bCs/>
          <w:sz w:val="24"/>
          <w:szCs w:val="24"/>
        </w:rPr>
        <w:t xml:space="preserve"> лв./</w:t>
      </w:r>
      <w:proofErr w:type="spellStart"/>
      <w:r w:rsidRPr="0052294B">
        <w:rPr>
          <w:rFonts w:ascii="Times New Roman" w:eastAsia="Calibri" w:hAnsi="Times New Roman" w:cs="Times New Roman"/>
          <w:b/>
          <w:bCs/>
          <w:sz w:val="24"/>
          <w:szCs w:val="24"/>
        </w:rPr>
        <w:t>тУГ</w:t>
      </w:r>
      <w:proofErr w:type="spellEnd"/>
      <w:r w:rsidRPr="0052294B">
        <w:rPr>
          <w:rFonts w:ascii="Times New Roman" w:eastAsia="Calibri" w:hAnsi="Times New Roman" w:cs="Times New Roman"/>
          <w:b/>
          <w:bCs/>
          <w:sz w:val="24"/>
          <w:szCs w:val="24"/>
        </w:rPr>
        <w:t>.</w:t>
      </w:r>
      <w:r w:rsidRPr="0052294B">
        <w:rPr>
          <w:rFonts w:ascii="Times New Roman" w:eastAsia="Calibri" w:hAnsi="Times New Roman" w:cs="Times New Roman"/>
          <w:bCs/>
          <w:sz w:val="24"/>
          <w:szCs w:val="24"/>
        </w:rPr>
        <w:t xml:space="preserve"> </w:t>
      </w:r>
      <w:r w:rsidR="00993013" w:rsidRPr="0052294B">
        <w:rPr>
          <w:rFonts w:ascii="Times New Roman" w:eastAsia="Calibri" w:hAnsi="Times New Roman" w:cs="Times New Roman"/>
          <w:bCs/>
          <w:sz w:val="24"/>
          <w:szCs w:val="24"/>
        </w:rPr>
        <w:t>Не е предвидено увеличение на цената на въглищата в рамките на новия регулаторен период</w:t>
      </w:r>
    </w:p>
    <w:p w14:paraId="53398103" w14:textId="52723A26" w:rsidR="005438F9" w:rsidRPr="0052294B" w:rsidRDefault="000C336E" w:rsidP="003D51C0">
      <w:pPr>
        <w:numPr>
          <w:ilvl w:val="0"/>
          <w:numId w:val="4"/>
        </w:numPr>
        <w:spacing w:after="120" w:line="240" w:lineRule="auto"/>
        <w:ind w:left="0" w:firstLine="0"/>
        <w:jc w:val="both"/>
        <w:rPr>
          <w:rFonts w:ascii="Times New Roman" w:eastAsia="Calibri" w:hAnsi="Times New Roman" w:cs="Times New Roman"/>
          <w:bCs/>
          <w:sz w:val="24"/>
          <w:szCs w:val="24"/>
        </w:rPr>
      </w:pPr>
      <w:r w:rsidRPr="0052294B">
        <w:rPr>
          <w:rFonts w:ascii="Times New Roman" w:eastAsia="Calibri" w:hAnsi="Times New Roman" w:cs="Times New Roman"/>
          <w:bCs/>
          <w:sz w:val="24"/>
          <w:szCs w:val="24"/>
        </w:rPr>
        <w:t xml:space="preserve">Предвидените разходи за гориво за разпалване са на обща стойност </w:t>
      </w:r>
      <w:r w:rsidR="0066193B">
        <w:rPr>
          <w:rFonts w:ascii="Times New Roman" w:eastAsia="Calibri" w:hAnsi="Times New Roman" w:cs="Times New Roman"/>
          <w:bCs/>
          <w:sz w:val="24"/>
          <w:szCs w:val="24"/>
        </w:rPr>
        <w:t>……</w:t>
      </w:r>
      <w:r w:rsidRPr="0052294B">
        <w:rPr>
          <w:rFonts w:ascii="Times New Roman" w:eastAsia="Calibri" w:hAnsi="Times New Roman" w:cs="Times New Roman"/>
          <w:b/>
          <w:bCs/>
          <w:sz w:val="24"/>
          <w:szCs w:val="24"/>
        </w:rPr>
        <w:t xml:space="preserve"> хил. лв.</w:t>
      </w:r>
      <w:r w:rsidRPr="0052294B">
        <w:rPr>
          <w:rFonts w:ascii="Times New Roman" w:eastAsia="Calibri" w:hAnsi="Times New Roman" w:cs="Times New Roman"/>
          <w:bCs/>
          <w:sz w:val="24"/>
          <w:szCs w:val="24"/>
        </w:rPr>
        <w:t xml:space="preserve"> и включват разходи за мазут – </w:t>
      </w:r>
      <w:r w:rsidR="0066193B">
        <w:rPr>
          <w:rFonts w:ascii="Times New Roman" w:eastAsia="Calibri" w:hAnsi="Times New Roman" w:cs="Times New Roman"/>
          <w:bCs/>
          <w:sz w:val="24"/>
          <w:szCs w:val="24"/>
        </w:rPr>
        <w:t>…….</w:t>
      </w:r>
      <w:r w:rsidRPr="0052294B">
        <w:rPr>
          <w:rFonts w:ascii="Times New Roman" w:eastAsia="Calibri" w:hAnsi="Times New Roman" w:cs="Times New Roman"/>
          <w:b/>
          <w:bCs/>
          <w:sz w:val="24"/>
          <w:szCs w:val="24"/>
        </w:rPr>
        <w:t xml:space="preserve"> хил. лв</w:t>
      </w:r>
      <w:r w:rsidRPr="0052294B">
        <w:rPr>
          <w:rFonts w:ascii="Times New Roman" w:eastAsia="Calibri" w:hAnsi="Times New Roman" w:cs="Times New Roman"/>
          <w:bCs/>
          <w:sz w:val="24"/>
          <w:szCs w:val="24"/>
        </w:rPr>
        <w:t>. и разходи за природен газ (метан</w:t>
      </w:r>
      <w:r w:rsidRPr="0052294B">
        <w:rPr>
          <w:rFonts w:ascii="Times New Roman" w:eastAsia="Calibri" w:hAnsi="Times New Roman" w:cs="Times New Roman"/>
          <w:b/>
          <w:bCs/>
          <w:sz w:val="24"/>
          <w:szCs w:val="24"/>
        </w:rPr>
        <w:t xml:space="preserve">) </w:t>
      </w:r>
      <w:r w:rsidR="0066193B">
        <w:rPr>
          <w:rFonts w:ascii="Times New Roman" w:eastAsia="Calibri" w:hAnsi="Times New Roman" w:cs="Times New Roman"/>
          <w:b/>
          <w:bCs/>
          <w:sz w:val="24"/>
          <w:szCs w:val="24"/>
        </w:rPr>
        <w:t>…….</w:t>
      </w:r>
      <w:r w:rsidRPr="0052294B">
        <w:rPr>
          <w:rFonts w:ascii="Times New Roman" w:eastAsia="Calibri" w:hAnsi="Times New Roman" w:cs="Times New Roman"/>
          <w:b/>
          <w:bCs/>
          <w:sz w:val="24"/>
          <w:szCs w:val="24"/>
        </w:rPr>
        <w:t xml:space="preserve"> хил. лв.</w:t>
      </w:r>
      <w:r w:rsidRPr="0052294B">
        <w:rPr>
          <w:rFonts w:ascii="Times New Roman" w:eastAsia="Calibri" w:hAnsi="Times New Roman" w:cs="Times New Roman"/>
          <w:bCs/>
          <w:sz w:val="24"/>
          <w:szCs w:val="24"/>
        </w:rPr>
        <w:t xml:space="preserve"> Планираните разходи за природен газ са изчислени на база </w:t>
      </w:r>
      <w:r w:rsidR="005438F9" w:rsidRPr="0052294B">
        <w:rPr>
          <w:rFonts w:ascii="Times New Roman" w:eastAsia="Calibri" w:hAnsi="Times New Roman" w:cs="Times New Roman"/>
          <w:bCs/>
          <w:sz w:val="24"/>
          <w:szCs w:val="24"/>
        </w:rPr>
        <w:t>прогнозна</w:t>
      </w:r>
      <w:r w:rsidRPr="0052294B">
        <w:rPr>
          <w:rFonts w:ascii="Times New Roman" w:eastAsia="Calibri" w:hAnsi="Times New Roman" w:cs="Times New Roman"/>
          <w:bCs/>
          <w:sz w:val="24"/>
          <w:szCs w:val="24"/>
        </w:rPr>
        <w:t xml:space="preserve"> цена</w:t>
      </w:r>
      <w:r w:rsidR="005438F9" w:rsidRPr="0052294B">
        <w:rPr>
          <w:rFonts w:ascii="Times New Roman" w:eastAsia="Calibri" w:hAnsi="Times New Roman" w:cs="Times New Roman"/>
          <w:bCs/>
          <w:sz w:val="24"/>
          <w:szCs w:val="24"/>
        </w:rPr>
        <w:t xml:space="preserve"> </w:t>
      </w:r>
      <w:r w:rsidR="0066193B">
        <w:rPr>
          <w:rFonts w:ascii="Times New Roman" w:eastAsia="Calibri" w:hAnsi="Times New Roman" w:cs="Times New Roman"/>
          <w:bCs/>
          <w:sz w:val="24"/>
          <w:szCs w:val="24"/>
        </w:rPr>
        <w:t>………..</w:t>
      </w:r>
      <w:r w:rsidR="005438F9" w:rsidRPr="0052294B">
        <w:rPr>
          <w:rFonts w:ascii="Times New Roman" w:eastAsia="Calibri" w:hAnsi="Times New Roman" w:cs="Times New Roman"/>
          <w:bCs/>
          <w:sz w:val="24"/>
          <w:szCs w:val="24"/>
        </w:rPr>
        <w:t xml:space="preserve"> лв./х.нм</w:t>
      </w:r>
      <w:r w:rsidR="005438F9" w:rsidRPr="0052294B">
        <w:rPr>
          <w:rFonts w:ascii="Times New Roman" w:eastAsia="Calibri" w:hAnsi="Times New Roman" w:cs="Times New Roman"/>
          <w:bCs/>
          <w:sz w:val="24"/>
          <w:szCs w:val="24"/>
          <w:vertAlign w:val="superscript"/>
        </w:rPr>
        <w:t>3</w:t>
      </w:r>
      <w:r w:rsidR="005438F9" w:rsidRPr="0052294B">
        <w:rPr>
          <w:rFonts w:ascii="Times New Roman" w:eastAsia="Calibri" w:hAnsi="Times New Roman" w:cs="Times New Roman"/>
          <w:bCs/>
          <w:sz w:val="24"/>
          <w:szCs w:val="24"/>
        </w:rPr>
        <w:t xml:space="preserve"> с включена цена за пренос и прогнозна цена за достъп през газопреносната мрежа. </w:t>
      </w:r>
    </w:p>
    <w:p w14:paraId="3665F737" w14:textId="379FCDAC" w:rsidR="000C336E" w:rsidRPr="0052294B" w:rsidRDefault="000C336E" w:rsidP="00B57AFB">
      <w:pPr>
        <w:numPr>
          <w:ilvl w:val="0"/>
          <w:numId w:val="4"/>
        </w:numPr>
        <w:spacing w:after="120" w:line="240" w:lineRule="auto"/>
        <w:ind w:left="0" w:firstLine="0"/>
        <w:jc w:val="both"/>
        <w:rPr>
          <w:rFonts w:ascii="Times New Roman" w:eastAsia="Calibri" w:hAnsi="Times New Roman" w:cs="Times New Roman"/>
          <w:bCs/>
          <w:sz w:val="24"/>
          <w:szCs w:val="24"/>
        </w:rPr>
      </w:pPr>
      <w:r w:rsidRPr="0052294B">
        <w:rPr>
          <w:rFonts w:ascii="Times New Roman" w:eastAsia="Calibri" w:hAnsi="Times New Roman" w:cs="Times New Roman"/>
          <w:bCs/>
          <w:sz w:val="24"/>
          <w:szCs w:val="24"/>
        </w:rPr>
        <w:t>При разходите за консумативи с най-голяма тежест са разходите за варовик формиран</w:t>
      </w:r>
      <w:r w:rsidR="00B5447C" w:rsidRPr="0052294B">
        <w:rPr>
          <w:rFonts w:ascii="Times New Roman" w:eastAsia="Calibri" w:hAnsi="Times New Roman" w:cs="Times New Roman"/>
          <w:bCs/>
          <w:sz w:val="24"/>
          <w:szCs w:val="24"/>
        </w:rPr>
        <w:t xml:space="preserve">и от количеството варовик </w:t>
      </w:r>
      <w:r w:rsidR="0066193B">
        <w:rPr>
          <w:rFonts w:ascii="Times New Roman" w:eastAsia="Calibri" w:hAnsi="Times New Roman" w:cs="Times New Roman"/>
          <w:bCs/>
          <w:sz w:val="24"/>
          <w:szCs w:val="24"/>
        </w:rPr>
        <w:t>………</w:t>
      </w:r>
      <w:r w:rsidRPr="0052294B">
        <w:rPr>
          <w:rFonts w:ascii="Times New Roman" w:eastAsia="Calibri" w:hAnsi="Times New Roman" w:cs="Times New Roman"/>
          <w:bCs/>
          <w:sz w:val="24"/>
          <w:szCs w:val="24"/>
        </w:rPr>
        <w:t xml:space="preserve"> тона използвано за сероочистване на димните газове с цена </w:t>
      </w:r>
      <w:r w:rsidR="00745AB4" w:rsidRPr="0052294B">
        <w:rPr>
          <w:rFonts w:ascii="Times New Roman" w:eastAsia="Calibri" w:hAnsi="Times New Roman" w:cs="Times New Roman"/>
          <w:bCs/>
          <w:sz w:val="24"/>
          <w:szCs w:val="24"/>
        </w:rPr>
        <w:t>на</w:t>
      </w:r>
      <w:r w:rsidR="00B40E74" w:rsidRPr="0052294B">
        <w:rPr>
          <w:rFonts w:ascii="Times New Roman" w:eastAsia="Calibri" w:hAnsi="Times New Roman" w:cs="Times New Roman"/>
          <w:bCs/>
          <w:sz w:val="24"/>
          <w:szCs w:val="24"/>
        </w:rPr>
        <w:t xml:space="preserve"> варовик</w:t>
      </w:r>
      <w:r w:rsidR="00745AB4" w:rsidRPr="0052294B">
        <w:rPr>
          <w:rFonts w:ascii="Times New Roman" w:eastAsia="Calibri" w:hAnsi="Times New Roman" w:cs="Times New Roman"/>
          <w:bCs/>
          <w:sz w:val="24"/>
          <w:szCs w:val="24"/>
        </w:rPr>
        <w:t>а</w:t>
      </w:r>
      <w:r w:rsidR="00B40E74" w:rsidRPr="0052294B">
        <w:rPr>
          <w:rFonts w:ascii="Times New Roman" w:eastAsia="Calibri" w:hAnsi="Times New Roman" w:cs="Times New Roman"/>
          <w:bCs/>
          <w:sz w:val="24"/>
          <w:szCs w:val="24"/>
        </w:rPr>
        <w:t xml:space="preserve"> в размер на </w:t>
      </w:r>
      <w:r w:rsidR="0066193B">
        <w:rPr>
          <w:rFonts w:ascii="Times New Roman" w:eastAsia="Calibri" w:hAnsi="Times New Roman" w:cs="Times New Roman"/>
          <w:bCs/>
          <w:sz w:val="24"/>
          <w:szCs w:val="24"/>
        </w:rPr>
        <w:t>……..</w:t>
      </w:r>
      <w:r w:rsidRPr="0052294B">
        <w:rPr>
          <w:rFonts w:ascii="Times New Roman" w:eastAsia="Calibri" w:hAnsi="Times New Roman" w:cs="Times New Roman"/>
          <w:bCs/>
          <w:sz w:val="24"/>
          <w:szCs w:val="24"/>
        </w:rPr>
        <w:t xml:space="preserve"> лева/тон. Планираните разходи за варовик възлизат на </w:t>
      </w:r>
      <w:r w:rsidR="0066193B">
        <w:rPr>
          <w:rFonts w:ascii="Times New Roman" w:eastAsia="Calibri" w:hAnsi="Times New Roman" w:cs="Times New Roman"/>
          <w:bCs/>
          <w:sz w:val="24"/>
          <w:szCs w:val="24"/>
        </w:rPr>
        <w:t>………</w:t>
      </w:r>
      <w:r w:rsidRPr="0052294B">
        <w:rPr>
          <w:rFonts w:ascii="Times New Roman" w:eastAsia="Calibri" w:hAnsi="Times New Roman" w:cs="Times New Roman"/>
          <w:bCs/>
          <w:sz w:val="24"/>
          <w:szCs w:val="24"/>
        </w:rPr>
        <w:t xml:space="preserve"> хил. лв. </w:t>
      </w:r>
    </w:p>
    <w:p w14:paraId="00C9C483" w14:textId="77777777" w:rsidR="000C336E" w:rsidRPr="0052294B" w:rsidRDefault="000C336E" w:rsidP="00B57AFB">
      <w:pPr>
        <w:numPr>
          <w:ilvl w:val="0"/>
          <w:numId w:val="4"/>
        </w:numPr>
        <w:spacing w:after="120" w:line="240" w:lineRule="auto"/>
        <w:ind w:left="0" w:firstLine="0"/>
        <w:jc w:val="both"/>
        <w:rPr>
          <w:rFonts w:ascii="Times New Roman" w:eastAsia="Calibri" w:hAnsi="Times New Roman" w:cs="Times New Roman"/>
          <w:bCs/>
          <w:sz w:val="24"/>
          <w:szCs w:val="24"/>
        </w:rPr>
      </w:pPr>
      <w:r w:rsidRPr="0052294B">
        <w:rPr>
          <w:rFonts w:ascii="Times New Roman" w:eastAsia="Calibri" w:hAnsi="Times New Roman" w:cs="Times New Roman"/>
          <w:bCs/>
          <w:sz w:val="24"/>
          <w:szCs w:val="24"/>
        </w:rPr>
        <w:t>Разходите за водоползване се формират съгласно чл.10 (1) от Тарифата за таксите за водовземане, за ползване на воден обект и Декларация по чл.194б от Закона за водите за изчисляване на дължимата такса по утвърден образец от Министъра на околната среда и водите за разрешено ползване на воден обект за 2018 г. на „ТЕЦ Марица изток 2“ ЕАД.</w:t>
      </w:r>
    </w:p>
    <w:p w14:paraId="57848CA9" w14:textId="77777777" w:rsidR="000C336E" w:rsidRPr="0052294B" w:rsidRDefault="000C336E" w:rsidP="00B57AFB">
      <w:pPr>
        <w:numPr>
          <w:ilvl w:val="0"/>
          <w:numId w:val="4"/>
        </w:numPr>
        <w:spacing w:after="120" w:line="240" w:lineRule="auto"/>
        <w:ind w:left="0" w:firstLine="0"/>
        <w:jc w:val="both"/>
        <w:rPr>
          <w:rFonts w:ascii="Times New Roman" w:eastAsia="Calibri" w:hAnsi="Times New Roman" w:cs="Times New Roman"/>
          <w:b/>
          <w:bCs/>
          <w:sz w:val="24"/>
          <w:szCs w:val="24"/>
        </w:rPr>
      </w:pPr>
      <w:r w:rsidRPr="0052294B">
        <w:rPr>
          <w:rFonts w:ascii="Times New Roman" w:eastAsia="Calibri" w:hAnsi="Times New Roman" w:cs="Times New Roman"/>
          <w:b/>
          <w:bCs/>
          <w:sz w:val="24"/>
          <w:szCs w:val="24"/>
        </w:rPr>
        <w:t>Разходи за квоти за парникови газове</w:t>
      </w:r>
    </w:p>
    <w:p w14:paraId="2BF89E70" w14:textId="629CD0A5" w:rsidR="000C336E" w:rsidRPr="001E36A9" w:rsidRDefault="000C336E">
      <w:pPr>
        <w:spacing w:after="120" w:line="240" w:lineRule="auto"/>
        <w:contextualSpacing/>
        <w:jc w:val="both"/>
        <w:rPr>
          <w:rFonts w:ascii="Times New Roman" w:eastAsia="Times New Roman" w:hAnsi="Times New Roman" w:cs="Times New Roman"/>
          <w:sz w:val="24"/>
          <w:szCs w:val="24"/>
          <w:lang w:val="ru-RU" w:eastAsia="bg-BG"/>
        </w:rPr>
      </w:pPr>
      <w:r w:rsidRPr="001E36A9">
        <w:rPr>
          <w:rFonts w:ascii="Times New Roman" w:eastAsia="Times New Roman" w:hAnsi="Times New Roman" w:cs="Times New Roman"/>
          <w:sz w:val="24"/>
          <w:szCs w:val="24"/>
          <w:lang w:val="ru-RU" w:eastAsia="bg-BG"/>
        </w:rPr>
        <w:t>Производственият процес е свързан с изгарянето на въглища</w:t>
      </w:r>
      <w:r w:rsidR="000F36FF" w:rsidRPr="001E36A9">
        <w:rPr>
          <w:rFonts w:ascii="Times New Roman" w:eastAsia="Times New Roman" w:hAnsi="Times New Roman" w:cs="Times New Roman"/>
          <w:sz w:val="24"/>
          <w:szCs w:val="24"/>
          <w:lang w:val="ru-RU" w:eastAsia="bg-BG"/>
        </w:rPr>
        <w:t>,</w:t>
      </w:r>
      <w:r w:rsidRPr="001E36A9">
        <w:rPr>
          <w:rFonts w:ascii="Times New Roman" w:eastAsia="Times New Roman" w:hAnsi="Times New Roman" w:cs="Times New Roman"/>
          <w:sz w:val="24"/>
          <w:szCs w:val="24"/>
          <w:lang w:val="ru-RU" w:eastAsia="bg-BG"/>
        </w:rPr>
        <w:t xml:space="preserve"> мазут</w:t>
      </w:r>
      <w:r w:rsidR="000F36FF" w:rsidRPr="001E36A9">
        <w:rPr>
          <w:rFonts w:ascii="Times New Roman" w:eastAsia="Times New Roman" w:hAnsi="Times New Roman" w:cs="Times New Roman"/>
          <w:sz w:val="24"/>
          <w:szCs w:val="24"/>
          <w:lang w:val="ru-RU" w:eastAsia="bg-BG"/>
        </w:rPr>
        <w:t xml:space="preserve"> и </w:t>
      </w:r>
      <w:r w:rsidR="00323764" w:rsidRPr="001E36A9">
        <w:rPr>
          <w:rFonts w:ascii="Times New Roman" w:eastAsia="Times New Roman" w:hAnsi="Times New Roman" w:cs="Times New Roman"/>
          <w:sz w:val="24"/>
          <w:szCs w:val="24"/>
          <w:lang w:val="ru-RU" w:eastAsia="bg-BG"/>
        </w:rPr>
        <w:t xml:space="preserve">природен </w:t>
      </w:r>
      <w:r w:rsidR="000F36FF" w:rsidRPr="001E36A9">
        <w:rPr>
          <w:rFonts w:ascii="Times New Roman" w:eastAsia="Times New Roman" w:hAnsi="Times New Roman" w:cs="Times New Roman"/>
          <w:sz w:val="24"/>
          <w:szCs w:val="24"/>
          <w:lang w:val="ru-RU" w:eastAsia="bg-BG"/>
        </w:rPr>
        <w:t>газ</w:t>
      </w:r>
      <w:r w:rsidRPr="001E36A9">
        <w:rPr>
          <w:rFonts w:ascii="Times New Roman" w:eastAsia="Times New Roman" w:hAnsi="Times New Roman" w:cs="Times New Roman"/>
          <w:sz w:val="24"/>
          <w:szCs w:val="24"/>
          <w:lang w:val="ru-RU" w:eastAsia="bg-BG"/>
        </w:rPr>
        <w:t>,</w:t>
      </w:r>
      <w:r w:rsidR="000F36FF" w:rsidRPr="001E36A9">
        <w:rPr>
          <w:rFonts w:ascii="Times New Roman" w:eastAsia="Times New Roman" w:hAnsi="Times New Roman" w:cs="Times New Roman"/>
          <w:sz w:val="24"/>
          <w:szCs w:val="24"/>
          <w:lang w:val="ru-RU" w:eastAsia="bg-BG"/>
        </w:rPr>
        <w:t xml:space="preserve"> както и </w:t>
      </w:r>
      <w:r w:rsidR="00323764" w:rsidRPr="001E36A9">
        <w:rPr>
          <w:rFonts w:ascii="Times New Roman" w:eastAsia="Times New Roman" w:hAnsi="Times New Roman" w:cs="Times New Roman"/>
          <w:sz w:val="24"/>
          <w:szCs w:val="24"/>
          <w:lang w:val="ru-RU" w:eastAsia="bg-BG"/>
        </w:rPr>
        <w:t xml:space="preserve">с процеси </w:t>
      </w:r>
      <w:r w:rsidR="000F36FF" w:rsidRPr="001E36A9">
        <w:rPr>
          <w:rFonts w:ascii="Times New Roman" w:eastAsia="Times New Roman" w:hAnsi="Times New Roman" w:cs="Times New Roman"/>
          <w:sz w:val="24"/>
          <w:szCs w:val="24"/>
          <w:lang w:val="ru-RU" w:eastAsia="bg-BG"/>
        </w:rPr>
        <w:t>на сероочистване,</w:t>
      </w:r>
      <w:r w:rsidRPr="001E36A9">
        <w:rPr>
          <w:rFonts w:ascii="Times New Roman" w:eastAsia="Times New Roman" w:hAnsi="Times New Roman" w:cs="Times New Roman"/>
          <w:sz w:val="24"/>
          <w:szCs w:val="24"/>
          <w:lang w:val="ru-RU" w:eastAsia="bg-BG"/>
        </w:rPr>
        <w:t xml:space="preserve"> в резултат на което в атмосферата се емитират парникови газове. Заради голямото количество изгаряни </w:t>
      </w:r>
      <w:r w:rsidR="000F36FF" w:rsidRPr="001E36A9">
        <w:rPr>
          <w:rFonts w:ascii="Times New Roman" w:eastAsia="Times New Roman" w:hAnsi="Times New Roman" w:cs="Times New Roman"/>
          <w:sz w:val="24"/>
          <w:szCs w:val="24"/>
          <w:lang w:val="ru-RU" w:eastAsia="bg-BG"/>
        </w:rPr>
        <w:t xml:space="preserve">изкопаеми горива </w:t>
      </w:r>
      <w:r w:rsidRPr="001E36A9">
        <w:rPr>
          <w:rFonts w:ascii="Times New Roman" w:eastAsia="Times New Roman" w:hAnsi="Times New Roman" w:cs="Times New Roman"/>
          <w:sz w:val="24"/>
          <w:szCs w:val="24"/>
          <w:lang w:val="ru-RU" w:eastAsia="bg-BG"/>
        </w:rPr>
        <w:t xml:space="preserve">централата отделя значителни количества парникови газове. </w:t>
      </w:r>
    </w:p>
    <w:p w14:paraId="04C420E2" w14:textId="17B0E4D7" w:rsidR="00B40E74" w:rsidRDefault="00B40E74">
      <w:pPr>
        <w:autoSpaceDE w:val="0"/>
        <w:autoSpaceDN w:val="0"/>
        <w:adjustRightInd w:val="0"/>
        <w:spacing w:after="120" w:line="240" w:lineRule="auto"/>
        <w:jc w:val="both"/>
        <w:rPr>
          <w:rFonts w:ascii="Times New Roman" w:hAnsi="Times New Roman" w:cs="Times New Roman"/>
          <w:bCs/>
          <w:sz w:val="24"/>
          <w:szCs w:val="24"/>
          <w:highlight w:val="yellow"/>
          <w:lang w:val="ru-RU"/>
        </w:rPr>
      </w:pPr>
    </w:p>
    <w:p w14:paraId="6BBDEB9C" w14:textId="0C73CC6C" w:rsidR="001E36A9" w:rsidRPr="001E36A9" w:rsidRDefault="001E36A9">
      <w:pPr>
        <w:spacing w:after="0" w:line="240" w:lineRule="auto"/>
        <w:jc w:val="both"/>
        <w:rPr>
          <w:rFonts w:ascii="Times New Roman" w:eastAsia="Times New Roman" w:hAnsi="Times New Roman" w:cs="Times New Roman"/>
          <w:iCs/>
          <w:color w:val="000000"/>
          <w:sz w:val="24"/>
          <w:szCs w:val="24"/>
          <w:lang w:eastAsia="bg-BG"/>
        </w:rPr>
      </w:pPr>
      <w:r w:rsidRPr="001E36A9">
        <w:rPr>
          <w:rFonts w:ascii="Times New Roman" w:eastAsia="Times New Roman" w:hAnsi="Times New Roman" w:cs="Times New Roman"/>
          <w:iCs/>
          <w:color w:val="000000"/>
          <w:sz w:val="24"/>
          <w:szCs w:val="24"/>
          <w:lang w:eastAsia="bg-BG"/>
        </w:rPr>
        <w:t>Във връзка с промяната в ЗООС сроковете за предаване на количеството емитирани квоти в Националния регистър беше удължен от 30.04 до 30.09 на годината, следваща отчетната година. Поради тази причина "ТЕЦ Марица изток 2" ЕАД все още не е закупило всички емитирани квоти за 2024 г. Остатъкът от необходимите квоти ще бъде осигурен в законовите срокове по силата на  сключено рамково споразумение за покупко-продажба на квоти за емисии на парникови газове между дружеството и БЕХ ЕАД.</w:t>
      </w:r>
    </w:p>
    <w:p w14:paraId="3837AC97" w14:textId="77777777" w:rsidR="001E36A9" w:rsidRDefault="001E36A9">
      <w:pPr>
        <w:spacing w:after="120" w:line="240" w:lineRule="auto"/>
        <w:jc w:val="both"/>
        <w:rPr>
          <w:rFonts w:ascii="Times New Roman" w:eastAsia="Times New Roman" w:hAnsi="Times New Roman" w:cs="Times New Roman"/>
          <w:b/>
          <w:sz w:val="24"/>
          <w:szCs w:val="24"/>
          <w:lang w:eastAsia="bg-BG"/>
        </w:rPr>
      </w:pPr>
    </w:p>
    <w:p w14:paraId="21E4EBB2" w14:textId="0C582CC0" w:rsidR="00D86FD8" w:rsidRDefault="00D86FD8">
      <w:pPr>
        <w:spacing w:after="120" w:line="240" w:lineRule="auto"/>
        <w:jc w:val="both"/>
        <w:rPr>
          <w:rFonts w:ascii="Times New Roman" w:eastAsia="Times New Roman" w:hAnsi="Times New Roman" w:cs="Times New Roman"/>
          <w:b/>
          <w:sz w:val="24"/>
          <w:szCs w:val="24"/>
          <w:lang w:eastAsia="bg-BG"/>
        </w:rPr>
      </w:pPr>
      <w:r w:rsidRPr="001E36A9">
        <w:rPr>
          <w:rFonts w:ascii="Times New Roman" w:eastAsia="Times New Roman" w:hAnsi="Times New Roman" w:cs="Times New Roman"/>
          <w:b/>
          <w:sz w:val="24"/>
          <w:szCs w:val="24"/>
          <w:lang w:eastAsia="bg-BG"/>
        </w:rPr>
        <w:t xml:space="preserve">През новия регулаторен период Дружеството очаква да емитира  </w:t>
      </w:r>
      <w:r w:rsidR="0066193B">
        <w:rPr>
          <w:rFonts w:ascii="Times New Roman" w:eastAsia="Times New Roman" w:hAnsi="Times New Roman" w:cs="Times New Roman"/>
          <w:b/>
          <w:sz w:val="24"/>
          <w:szCs w:val="24"/>
          <w:lang w:eastAsia="bg-BG"/>
        </w:rPr>
        <w:t>……………</w:t>
      </w:r>
      <w:r w:rsidRPr="001E36A9">
        <w:rPr>
          <w:rFonts w:ascii="Times New Roman" w:eastAsia="Times New Roman" w:hAnsi="Times New Roman" w:cs="Times New Roman"/>
          <w:b/>
          <w:sz w:val="24"/>
          <w:szCs w:val="24"/>
          <w:lang w:eastAsia="bg-BG"/>
        </w:rPr>
        <w:t xml:space="preserve"> тона парникови газове</w:t>
      </w:r>
      <w:r w:rsidR="00FE7C40" w:rsidRPr="001E36A9">
        <w:rPr>
          <w:rFonts w:ascii="Times New Roman" w:eastAsia="Times New Roman" w:hAnsi="Times New Roman" w:cs="Times New Roman"/>
          <w:b/>
          <w:sz w:val="24"/>
          <w:szCs w:val="24"/>
          <w:lang w:eastAsia="bg-BG"/>
        </w:rPr>
        <w:t xml:space="preserve">, </w:t>
      </w:r>
      <w:r w:rsidRPr="001E36A9">
        <w:rPr>
          <w:rFonts w:ascii="Times New Roman" w:eastAsia="Times New Roman" w:hAnsi="Times New Roman" w:cs="Times New Roman"/>
          <w:b/>
          <w:sz w:val="24"/>
          <w:szCs w:val="24"/>
          <w:lang w:eastAsia="bg-BG"/>
        </w:rPr>
        <w:t xml:space="preserve"> </w:t>
      </w:r>
      <w:r w:rsidR="00B35157" w:rsidRPr="001E36A9">
        <w:rPr>
          <w:rFonts w:ascii="Times New Roman" w:eastAsia="Times New Roman" w:hAnsi="Times New Roman" w:cs="Times New Roman"/>
          <w:b/>
          <w:sz w:val="24"/>
          <w:szCs w:val="24"/>
          <w:lang w:eastAsia="bg-BG"/>
        </w:rPr>
        <w:t>като</w:t>
      </w:r>
      <w:r w:rsidRPr="001E36A9">
        <w:rPr>
          <w:rFonts w:ascii="Times New Roman" w:eastAsia="Times New Roman" w:hAnsi="Times New Roman" w:cs="Times New Roman"/>
          <w:b/>
          <w:sz w:val="24"/>
          <w:szCs w:val="24"/>
          <w:lang w:eastAsia="bg-BG"/>
        </w:rPr>
        <w:t xml:space="preserve"> </w:t>
      </w:r>
      <w:r w:rsidR="00B35157" w:rsidRPr="001E36A9">
        <w:rPr>
          <w:rFonts w:ascii="Times New Roman" w:eastAsia="Times New Roman" w:hAnsi="Times New Roman" w:cs="Times New Roman"/>
          <w:b/>
          <w:sz w:val="24"/>
          <w:szCs w:val="24"/>
          <w:lang w:eastAsia="bg-BG"/>
        </w:rPr>
        <w:t>цялото количество</w:t>
      </w:r>
      <w:r w:rsidRPr="001E36A9">
        <w:rPr>
          <w:rFonts w:ascii="Times New Roman" w:eastAsia="Times New Roman" w:hAnsi="Times New Roman" w:cs="Times New Roman"/>
          <w:b/>
          <w:sz w:val="24"/>
          <w:szCs w:val="24"/>
          <w:lang w:eastAsia="bg-BG"/>
        </w:rPr>
        <w:t xml:space="preserve"> следва да бъд</w:t>
      </w:r>
      <w:r w:rsidR="003B14A6" w:rsidRPr="001E36A9">
        <w:rPr>
          <w:rFonts w:ascii="Times New Roman" w:eastAsia="Times New Roman" w:hAnsi="Times New Roman" w:cs="Times New Roman"/>
          <w:b/>
          <w:sz w:val="24"/>
          <w:szCs w:val="24"/>
          <w:lang w:eastAsia="bg-BG"/>
        </w:rPr>
        <w:t>е</w:t>
      </w:r>
      <w:r w:rsidRPr="001E36A9">
        <w:rPr>
          <w:rFonts w:ascii="Times New Roman" w:eastAsia="Times New Roman" w:hAnsi="Times New Roman" w:cs="Times New Roman"/>
          <w:b/>
          <w:sz w:val="24"/>
          <w:szCs w:val="24"/>
          <w:lang w:eastAsia="bg-BG"/>
        </w:rPr>
        <w:t xml:space="preserve"> закупен</w:t>
      </w:r>
      <w:r w:rsidR="003B14A6" w:rsidRPr="001E36A9">
        <w:rPr>
          <w:rFonts w:ascii="Times New Roman" w:eastAsia="Times New Roman" w:hAnsi="Times New Roman" w:cs="Times New Roman"/>
          <w:b/>
          <w:sz w:val="24"/>
          <w:szCs w:val="24"/>
          <w:lang w:eastAsia="bg-BG"/>
        </w:rPr>
        <w:t>о</w:t>
      </w:r>
      <w:r w:rsidRPr="001E36A9">
        <w:rPr>
          <w:rFonts w:ascii="Times New Roman" w:eastAsia="Times New Roman" w:hAnsi="Times New Roman" w:cs="Times New Roman"/>
          <w:b/>
          <w:sz w:val="24"/>
          <w:szCs w:val="24"/>
          <w:lang w:eastAsia="bg-BG"/>
        </w:rPr>
        <w:t xml:space="preserve"> по пазарни цени. Общата стойност на разходите за квоти за новия регулаторен период се изчислява на </w:t>
      </w:r>
      <w:r w:rsidR="0066193B">
        <w:rPr>
          <w:rFonts w:ascii="Times New Roman" w:eastAsia="Times New Roman" w:hAnsi="Times New Roman" w:cs="Times New Roman"/>
          <w:b/>
          <w:sz w:val="24"/>
          <w:szCs w:val="24"/>
          <w:lang w:eastAsia="bg-BG"/>
        </w:rPr>
        <w:t>……………</w:t>
      </w:r>
      <w:r w:rsidRPr="001E36A9">
        <w:rPr>
          <w:rFonts w:ascii="Times New Roman" w:eastAsia="Times New Roman" w:hAnsi="Times New Roman" w:cs="Times New Roman"/>
          <w:b/>
          <w:sz w:val="24"/>
          <w:szCs w:val="24"/>
          <w:lang w:eastAsia="bg-BG"/>
        </w:rPr>
        <w:t xml:space="preserve"> </w:t>
      </w:r>
      <w:proofErr w:type="spellStart"/>
      <w:r w:rsidRPr="001E36A9">
        <w:rPr>
          <w:rFonts w:ascii="Times New Roman" w:eastAsia="Times New Roman" w:hAnsi="Times New Roman" w:cs="Times New Roman"/>
          <w:b/>
          <w:sz w:val="24"/>
          <w:szCs w:val="24"/>
          <w:lang w:eastAsia="bg-BG"/>
        </w:rPr>
        <w:t>хил.лв</w:t>
      </w:r>
      <w:proofErr w:type="spellEnd"/>
      <w:r w:rsidRPr="001E36A9">
        <w:rPr>
          <w:rFonts w:ascii="Times New Roman" w:eastAsia="Times New Roman" w:hAnsi="Times New Roman" w:cs="Times New Roman"/>
          <w:b/>
          <w:sz w:val="24"/>
          <w:szCs w:val="24"/>
          <w:lang w:eastAsia="bg-BG"/>
        </w:rPr>
        <w:t xml:space="preserve">., като </w:t>
      </w:r>
      <w:r w:rsidR="00B35157" w:rsidRPr="001E36A9">
        <w:rPr>
          <w:rFonts w:ascii="Times New Roman" w:eastAsia="Times New Roman" w:hAnsi="Times New Roman" w:cs="Times New Roman"/>
          <w:b/>
          <w:sz w:val="24"/>
          <w:szCs w:val="24"/>
          <w:lang w:eastAsia="bg-BG"/>
        </w:rPr>
        <w:t xml:space="preserve">за изчислението </w:t>
      </w:r>
      <w:r w:rsidRPr="001E36A9">
        <w:rPr>
          <w:rFonts w:ascii="Times New Roman" w:eastAsia="Times New Roman" w:hAnsi="Times New Roman" w:cs="Times New Roman"/>
          <w:b/>
          <w:sz w:val="24"/>
          <w:szCs w:val="24"/>
          <w:lang w:eastAsia="bg-BG"/>
        </w:rPr>
        <w:t xml:space="preserve">е използвана </w:t>
      </w:r>
      <w:r w:rsidR="00745AB4" w:rsidRPr="001E36A9">
        <w:rPr>
          <w:rFonts w:ascii="Times New Roman" w:eastAsia="Times New Roman" w:hAnsi="Times New Roman" w:cs="Times New Roman"/>
          <w:b/>
          <w:sz w:val="24"/>
          <w:szCs w:val="24"/>
          <w:lang w:eastAsia="bg-BG"/>
        </w:rPr>
        <w:t xml:space="preserve">прогнозна </w:t>
      </w:r>
      <w:r w:rsidRPr="001E36A9">
        <w:rPr>
          <w:rFonts w:ascii="Times New Roman" w:eastAsia="Times New Roman" w:hAnsi="Times New Roman" w:cs="Times New Roman"/>
          <w:b/>
          <w:sz w:val="24"/>
          <w:szCs w:val="24"/>
          <w:lang w:eastAsia="bg-BG"/>
        </w:rPr>
        <w:t xml:space="preserve">цена </w:t>
      </w:r>
      <w:r w:rsidR="00745AB4" w:rsidRPr="001E36A9">
        <w:rPr>
          <w:rFonts w:ascii="Times New Roman" w:eastAsia="Times New Roman" w:hAnsi="Times New Roman" w:cs="Times New Roman"/>
          <w:b/>
          <w:sz w:val="24"/>
          <w:szCs w:val="24"/>
          <w:lang w:eastAsia="bg-BG"/>
        </w:rPr>
        <w:t xml:space="preserve">в размер на </w:t>
      </w:r>
      <w:r w:rsidR="0066193B">
        <w:rPr>
          <w:rFonts w:ascii="Times New Roman" w:eastAsia="Times New Roman" w:hAnsi="Times New Roman" w:cs="Times New Roman"/>
          <w:b/>
          <w:sz w:val="24"/>
          <w:szCs w:val="24"/>
          <w:lang w:eastAsia="bg-BG"/>
        </w:rPr>
        <w:t>……..</w:t>
      </w:r>
      <w:r w:rsidR="00993013" w:rsidRPr="001E36A9">
        <w:rPr>
          <w:rFonts w:ascii="Times New Roman" w:eastAsia="Times New Roman" w:hAnsi="Times New Roman" w:cs="Times New Roman"/>
          <w:b/>
          <w:sz w:val="24"/>
          <w:szCs w:val="24"/>
          <w:lang w:eastAsia="bg-BG"/>
        </w:rPr>
        <w:t xml:space="preserve"> </w:t>
      </w:r>
      <w:r w:rsidR="00B35157" w:rsidRPr="001E36A9">
        <w:rPr>
          <w:rFonts w:ascii="Times New Roman" w:eastAsia="Times New Roman" w:hAnsi="Times New Roman" w:cs="Times New Roman"/>
          <w:b/>
          <w:sz w:val="24"/>
          <w:szCs w:val="24"/>
          <w:lang w:eastAsia="bg-BG"/>
        </w:rPr>
        <w:t>евро/тон</w:t>
      </w:r>
      <w:r w:rsidR="001D4ECC" w:rsidRPr="001E36A9">
        <w:rPr>
          <w:rFonts w:ascii="Times New Roman" w:eastAsia="Times New Roman" w:hAnsi="Times New Roman" w:cs="Times New Roman"/>
          <w:b/>
          <w:sz w:val="24"/>
          <w:szCs w:val="24"/>
          <w:lang w:val="en-US" w:eastAsia="bg-BG"/>
        </w:rPr>
        <w:t xml:space="preserve"> </w:t>
      </w:r>
      <w:r w:rsidR="00F96B40" w:rsidRPr="001E36A9">
        <w:rPr>
          <w:rFonts w:ascii="Times New Roman" w:eastAsia="Times New Roman" w:hAnsi="Times New Roman" w:cs="Times New Roman"/>
          <w:b/>
          <w:sz w:val="24"/>
          <w:szCs w:val="24"/>
          <w:lang w:eastAsia="bg-BG"/>
        </w:rPr>
        <w:t>.</w:t>
      </w:r>
    </w:p>
    <w:p w14:paraId="46CB2AEC" w14:textId="7B3A7047" w:rsidR="000D1389" w:rsidRDefault="000D1389">
      <w:pPr>
        <w:spacing w:after="120" w:line="240" w:lineRule="auto"/>
        <w:jc w:val="both"/>
        <w:rPr>
          <w:rFonts w:ascii="Times New Roman" w:eastAsia="Times New Roman" w:hAnsi="Times New Roman" w:cs="Times New Roman"/>
          <w:b/>
          <w:sz w:val="24"/>
          <w:szCs w:val="24"/>
          <w:lang w:eastAsia="bg-BG"/>
        </w:rPr>
      </w:pPr>
    </w:p>
    <w:p w14:paraId="0BF25E1D" w14:textId="77777777" w:rsidR="000D1389" w:rsidRPr="00215740" w:rsidRDefault="000D1389">
      <w:pPr>
        <w:spacing w:after="120" w:line="240" w:lineRule="auto"/>
        <w:jc w:val="both"/>
        <w:rPr>
          <w:rFonts w:ascii="Times New Roman" w:eastAsia="Times New Roman" w:hAnsi="Times New Roman" w:cs="Times New Roman"/>
          <w:b/>
          <w:sz w:val="24"/>
          <w:szCs w:val="24"/>
          <w:lang w:eastAsia="bg-BG"/>
        </w:rPr>
      </w:pPr>
    </w:p>
    <w:p w14:paraId="60DC1AEB" w14:textId="1F5ECD00" w:rsidR="00D86FD8" w:rsidRPr="00A8412F" w:rsidRDefault="00D86FD8">
      <w:pPr>
        <w:pStyle w:val="ListParagraph"/>
        <w:numPr>
          <w:ilvl w:val="0"/>
          <w:numId w:val="23"/>
        </w:numPr>
        <w:tabs>
          <w:tab w:val="num" w:pos="520"/>
        </w:tabs>
        <w:suppressAutoHyphens/>
        <w:spacing w:after="120" w:line="240" w:lineRule="auto"/>
        <w:jc w:val="both"/>
        <w:rPr>
          <w:rFonts w:ascii="Times New Roman" w:eastAsia="Times New Roman" w:hAnsi="Times New Roman" w:cs="Times New Roman"/>
          <w:b/>
          <w:sz w:val="24"/>
          <w:szCs w:val="24"/>
          <w:lang w:eastAsia="bg-BG"/>
        </w:rPr>
      </w:pPr>
      <w:r w:rsidRPr="00A8412F">
        <w:rPr>
          <w:rFonts w:ascii="Times New Roman" w:eastAsia="Times New Roman" w:hAnsi="Times New Roman" w:cs="Times New Roman"/>
          <w:b/>
          <w:sz w:val="24"/>
          <w:szCs w:val="24"/>
          <w:lang w:eastAsia="bg-BG"/>
        </w:rPr>
        <w:lastRenderedPageBreak/>
        <w:t>Условно постоянни разходи</w:t>
      </w:r>
    </w:p>
    <w:p w14:paraId="1318BD81" w14:textId="7E16CBA4" w:rsidR="00D86FD8" w:rsidRDefault="00D86FD8">
      <w:pPr>
        <w:tabs>
          <w:tab w:val="num" w:pos="520"/>
        </w:tabs>
        <w:suppressAutoHyphens/>
        <w:spacing w:after="120" w:line="240" w:lineRule="auto"/>
        <w:jc w:val="both"/>
        <w:rPr>
          <w:rFonts w:ascii="Times New Roman" w:eastAsia="Times New Roman" w:hAnsi="Times New Roman" w:cs="Times New Roman"/>
          <w:sz w:val="24"/>
          <w:szCs w:val="24"/>
          <w:lang w:eastAsia="bg-BG"/>
        </w:rPr>
      </w:pPr>
      <w:r w:rsidRPr="00D86FD8">
        <w:rPr>
          <w:rFonts w:ascii="Times New Roman" w:eastAsia="Times New Roman" w:hAnsi="Times New Roman" w:cs="Times New Roman"/>
          <w:sz w:val="24"/>
          <w:szCs w:val="24"/>
          <w:lang w:eastAsia="bg-BG"/>
        </w:rPr>
        <w:t xml:space="preserve">Условно–постоянните разходи (УПР) включват пет основни подгрупи: разходи за заплати, разходи свързани с осигурителното законодателство, разходи за амортизации, разходи за ремонти и разходи пряко свързани с дейността по лицензията. </w:t>
      </w:r>
      <w:r w:rsidRPr="001365A2">
        <w:rPr>
          <w:rFonts w:ascii="Times New Roman" w:eastAsia="Times New Roman" w:hAnsi="Times New Roman" w:cs="Times New Roman"/>
          <w:b/>
          <w:bCs/>
          <w:sz w:val="24"/>
          <w:szCs w:val="24"/>
          <w:lang w:eastAsia="bg-BG"/>
        </w:rPr>
        <w:t xml:space="preserve">Общата стойност на планираните постоянни разходи, които </w:t>
      </w:r>
      <w:r w:rsidR="003C633A">
        <w:rPr>
          <w:rFonts w:ascii="Times New Roman" w:eastAsia="Times New Roman" w:hAnsi="Times New Roman" w:cs="Times New Roman"/>
          <w:b/>
          <w:bCs/>
          <w:sz w:val="24"/>
          <w:szCs w:val="24"/>
          <w:lang w:eastAsia="bg-BG"/>
        </w:rPr>
        <w:t xml:space="preserve">са включени </w:t>
      </w:r>
      <w:r w:rsidR="00F569F7">
        <w:rPr>
          <w:rFonts w:ascii="Times New Roman" w:eastAsia="Times New Roman" w:hAnsi="Times New Roman" w:cs="Times New Roman"/>
          <w:b/>
          <w:bCs/>
          <w:sz w:val="24"/>
          <w:szCs w:val="24"/>
          <w:lang w:eastAsia="bg-BG"/>
        </w:rPr>
        <w:t xml:space="preserve">при определяне на </w:t>
      </w:r>
      <w:r w:rsidR="003C633A">
        <w:rPr>
          <w:rFonts w:ascii="Times New Roman" w:eastAsia="Times New Roman" w:hAnsi="Times New Roman" w:cs="Times New Roman"/>
          <w:b/>
          <w:bCs/>
          <w:sz w:val="24"/>
          <w:szCs w:val="24"/>
          <w:lang w:eastAsia="bg-BG"/>
        </w:rPr>
        <w:t>цената</w:t>
      </w:r>
      <w:r w:rsidRPr="001365A2">
        <w:rPr>
          <w:rFonts w:ascii="Times New Roman" w:eastAsia="Times New Roman" w:hAnsi="Times New Roman" w:cs="Times New Roman"/>
          <w:b/>
          <w:bCs/>
          <w:sz w:val="24"/>
          <w:szCs w:val="24"/>
          <w:lang w:eastAsia="bg-BG"/>
        </w:rPr>
        <w:t xml:space="preserve"> </w:t>
      </w:r>
      <w:r w:rsidR="00F569F7">
        <w:rPr>
          <w:rFonts w:ascii="Times New Roman" w:eastAsia="Times New Roman" w:hAnsi="Times New Roman" w:cs="Times New Roman"/>
          <w:b/>
          <w:bCs/>
          <w:sz w:val="24"/>
          <w:szCs w:val="24"/>
          <w:lang w:eastAsia="bg-BG"/>
        </w:rPr>
        <w:t>на ел. енергията</w:t>
      </w:r>
      <w:r w:rsidR="001E36A9">
        <w:rPr>
          <w:rFonts w:ascii="Times New Roman" w:eastAsia="Times New Roman" w:hAnsi="Times New Roman" w:cs="Times New Roman"/>
          <w:b/>
          <w:bCs/>
          <w:sz w:val="24"/>
          <w:szCs w:val="24"/>
          <w:lang w:eastAsia="bg-BG"/>
        </w:rPr>
        <w:t xml:space="preserve"> </w:t>
      </w:r>
      <w:r w:rsidRPr="001365A2">
        <w:rPr>
          <w:rFonts w:ascii="Times New Roman" w:eastAsia="Times New Roman" w:hAnsi="Times New Roman" w:cs="Times New Roman"/>
          <w:b/>
          <w:bCs/>
          <w:sz w:val="24"/>
          <w:szCs w:val="24"/>
          <w:lang w:eastAsia="bg-BG"/>
        </w:rPr>
        <w:t>за новия ценови период възлиза</w:t>
      </w:r>
      <w:r w:rsidR="003C633A">
        <w:rPr>
          <w:rFonts w:ascii="Times New Roman" w:eastAsia="Times New Roman" w:hAnsi="Times New Roman" w:cs="Times New Roman"/>
          <w:b/>
          <w:bCs/>
          <w:sz w:val="24"/>
          <w:szCs w:val="24"/>
          <w:lang w:eastAsia="bg-BG"/>
        </w:rPr>
        <w:t>т</w:t>
      </w:r>
      <w:r w:rsidRPr="001365A2">
        <w:rPr>
          <w:rFonts w:ascii="Times New Roman" w:eastAsia="Times New Roman" w:hAnsi="Times New Roman" w:cs="Times New Roman"/>
          <w:b/>
          <w:bCs/>
          <w:sz w:val="24"/>
          <w:szCs w:val="24"/>
          <w:lang w:eastAsia="bg-BG"/>
        </w:rPr>
        <w:t xml:space="preserve"> на </w:t>
      </w:r>
      <w:r w:rsidR="0066193B">
        <w:rPr>
          <w:rFonts w:ascii="Times New Roman" w:eastAsia="Times New Roman" w:hAnsi="Times New Roman" w:cs="Times New Roman"/>
          <w:b/>
          <w:bCs/>
          <w:sz w:val="24"/>
          <w:szCs w:val="24"/>
          <w:lang w:eastAsia="bg-BG"/>
        </w:rPr>
        <w:t>………..</w:t>
      </w:r>
      <w:r w:rsidRPr="00402FF8">
        <w:rPr>
          <w:rFonts w:ascii="Times New Roman" w:eastAsia="Times New Roman" w:hAnsi="Times New Roman" w:cs="Times New Roman"/>
          <w:b/>
          <w:bCs/>
          <w:sz w:val="24"/>
          <w:szCs w:val="24"/>
          <w:lang w:eastAsia="bg-BG"/>
        </w:rPr>
        <w:t xml:space="preserve"> хил. лв. </w:t>
      </w:r>
      <w:r w:rsidR="00F569F7">
        <w:rPr>
          <w:rFonts w:ascii="Times New Roman" w:eastAsia="Times New Roman" w:hAnsi="Times New Roman" w:cs="Times New Roman"/>
          <w:sz w:val="24"/>
          <w:szCs w:val="24"/>
          <w:lang w:eastAsia="bg-BG"/>
        </w:rPr>
        <w:t xml:space="preserve">Разходите </w:t>
      </w:r>
      <w:r w:rsidR="00F569F7" w:rsidRPr="00D53243">
        <w:rPr>
          <w:rFonts w:ascii="Times New Roman" w:eastAsia="Times New Roman" w:hAnsi="Times New Roman" w:cs="Times New Roman"/>
          <w:sz w:val="24"/>
          <w:szCs w:val="24"/>
          <w:lang w:eastAsia="bg-BG"/>
        </w:rPr>
        <w:t xml:space="preserve"> с</w:t>
      </w:r>
      <w:r w:rsidR="00F569F7">
        <w:rPr>
          <w:rFonts w:ascii="Times New Roman" w:eastAsia="Times New Roman" w:hAnsi="Times New Roman" w:cs="Times New Roman"/>
          <w:sz w:val="24"/>
          <w:szCs w:val="24"/>
          <w:lang w:eastAsia="bg-BG"/>
        </w:rPr>
        <w:t>а</w:t>
      </w:r>
      <w:r w:rsidR="00F569F7" w:rsidRPr="00D53243">
        <w:rPr>
          <w:rFonts w:ascii="Times New Roman" w:eastAsia="Times New Roman" w:hAnsi="Times New Roman" w:cs="Times New Roman"/>
          <w:sz w:val="24"/>
          <w:szCs w:val="24"/>
          <w:lang w:eastAsia="bg-BG"/>
        </w:rPr>
        <w:t xml:space="preserve"> съобразен</w:t>
      </w:r>
      <w:r w:rsidR="00F569F7">
        <w:rPr>
          <w:rFonts w:ascii="Times New Roman" w:eastAsia="Times New Roman" w:hAnsi="Times New Roman" w:cs="Times New Roman"/>
          <w:sz w:val="24"/>
          <w:szCs w:val="24"/>
          <w:lang w:eastAsia="bg-BG"/>
        </w:rPr>
        <w:t>и</w:t>
      </w:r>
      <w:r w:rsidR="00F569F7" w:rsidRPr="00D53243">
        <w:rPr>
          <w:rFonts w:ascii="Times New Roman" w:eastAsia="Times New Roman" w:hAnsi="Times New Roman" w:cs="Times New Roman"/>
          <w:sz w:val="24"/>
          <w:szCs w:val="24"/>
          <w:lang w:eastAsia="bg-BG"/>
        </w:rPr>
        <w:t xml:space="preserve"> </w:t>
      </w:r>
      <w:r w:rsidR="00D53243" w:rsidRPr="00D53243">
        <w:rPr>
          <w:rFonts w:ascii="Times New Roman" w:eastAsia="Times New Roman" w:hAnsi="Times New Roman" w:cs="Times New Roman"/>
          <w:sz w:val="24"/>
          <w:szCs w:val="24"/>
          <w:lang w:eastAsia="bg-BG"/>
        </w:rPr>
        <w:t xml:space="preserve">със спецификата на управление на централата и </w:t>
      </w:r>
      <w:r w:rsidR="00D53243" w:rsidRPr="003F5611">
        <w:rPr>
          <w:rFonts w:ascii="Times New Roman" w:eastAsia="Times New Roman" w:hAnsi="Times New Roman" w:cs="Times New Roman"/>
          <w:b/>
          <w:bCs/>
          <w:sz w:val="24"/>
          <w:szCs w:val="24"/>
          <w:lang w:eastAsia="bg-BG"/>
        </w:rPr>
        <w:t>не включва</w:t>
      </w:r>
      <w:r w:rsidR="00F569F7">
        <w:rPr>
          <w:rFonts w:ascii="Times New Roman" w:eastAsia="Times New Roman" w:hAnsi="Times New Roman" w:cs="Times New Roman"/>
          <w:b/>
          <w:bCs/>
          <w:sz w:val="24"/>
          <w:szCs w:val="24"/>
          <w:lang w:eastAsia="bg-BG"/>
        </w:rPr>
        <w:t>т</w:t>
      </w:r>
      <w:r w:rsidR="00D53243" w:rsidRPr="003F5611">
        <w:rPr>
          <w:rFonts w:ascii="Times New Roman" w:eastAsia="Times New Roman" w:hAnsi="Times New Roman" w:cs="Times New Roman"/>
          <w:b/>
          <w:bCs/>
          <w:sz w:val="24"/>
          <w:szCs w:val="24"/>
          <w:lang w:eastAsia="bg-BG"/>
        </w:rPr>
        <w:t xml:space="preserve"> разходи, които не се признават като ценообразуващ елемент, както и разходи свързани с „Нерегулирани дейности“, по смисъла на Наредба № 1.</w:t>
      </w:r>
      <w:r w:rsidR="00D53243" w:rsidRPr="00D53243">
        <w:rPr>
          <w:rFonts w:ascii="Times New Roman" w:eastAsia="Times New Roman" w:hAnsi="Times New Roman" w:cs="Times New Roman"/>
          <w:sz w:val="24"/>
          <w:szCs w:val="24"/>
          <w:lang w:eastAsia="bg-BG"/>
        </w:rPr>
        <w:t xml:space="preserve"> Подробна структура на планираните разходи за новия регулаторен период е както следва:</w:t>
      </w:r>
    </w:p>
    <w:tbl>
      <w:tblPr>
        <w:tblW w:w="9086" w:type="dxa"/>
        <w:tblCellMar>
          <w:left w:w="70" w:type="dxa"/>
          <w:right w:w="70" w:type="dxa"/>
        </w:tblCellMar>
        <w:tblLook w:val="04A0" w:firstRow="1" w:lastRow="0" w:firstColumn="1" w:lastColumn="0" w:noHBand="0" w:noVBand="1"/>
      </w:tblPr>
      <w:tblGrid>
        <w:gridCol w:w="541"/>
        <w:gridCol w:w="5266"/>
        <w:gridCol w:w="1276"/>
        <w:gridCol w:w="1843"/>
        <w:gridCol w:w="160"/>
      </w:tblGrid>
      <w:tr w:rsidR="005066BD" w:rsidRPr="005066BD" w14:paraId="19D7C90F" w14:textId="77777777" w:rsidTr="005066BD">
        <w:trPr>
          <w:gridAfter w:val="1"/>
          <w:wAfter w:w="160" w:type="dxa"/>
          <w:trHeight w:val="450"/>
        </w:trPr>
        <w:tc>
          <w:tcPr>
            <w:tcW w:w="5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63C657" w14:textId="77777777" w:rsidR="005066BD" w:rsidRPr="005066BD" w:rsidRDefault="005066BD">
            <w:pPr>
              <w:spacing w:after="0" w:line="240" w:lineRule="auto"/>
              <w:jc w:val="center"/>
              <w:rPr>
                <w:rFonts w:ascii="Times New Roman" w:eastAsia="Times New Roman" w:hAnsi="Times New Roman" w:cs="Times New Roman"/>
                <w:b/>
                <w:bCs/>
                <w:sz w:val="18"/>
                <w:szCs w:val="18"/>
                <w:lang w:eastAsia="bg-BG"/>
              </w:rPr>
            </w:pPr>
            <w:r w:rsidRPr="005066BD">
              <w:rPr>
                <w:rFonts w:ascii="Times New Roman" w:eastAsia="Times New Roman" w:hAnsi="Times New Roman" w:cs="Times New Roman"/>
                <w:b/>
                <w:bCs/>
                <w:sz w:val="18"/>
                <w:szCs w:val="18"/>
                <w:lang w:eastAsia="bg-BG"/>
              </w:rPr>
              <w:t>№</w:t>
            </w:r>
          </w:p>
        </w:tc>
        <w:tc>
          <w:tcPr>
            <w:tcW w:w="52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BCCDD9" w14:textId="77777777" w:rsidR="005066BD" w:rsidRPr="005066BD" w:rsidRDefault="005066BD">
            <w:pPr>
              <w:spacing w:after="0" w:line="240" w:lineRule="auto"/>
              <w:jc w:val="center"/>
              <w:rPr>
                <w:rFonts w:ascii="Times New Roman" w:eastAsia="Times New Roman" w:hAnsi="Times New Roman" w:cs="Times New Roman"/>
                <w:b/>
                <w:bCs/>
                <w:sz w:val="18"/>
                <w:szCs w:val="18"/>
                <w:lang w:eastAsia="bg-BG"/>
              </w:rPr>
            </w:pPr>
            <w:r w:rsidRPr="005066BD">
              <w:rPr>
                <w:rFonts w:ascii="Times New Roman" w:eastAsia="Times New Roman" w:hAnsi="Times New Roman" w:cs="Times New Roman"/>
                <w:b/>
                <w:bCs/>
                <w:sz w:val="18"/>
                <w:szCs w:val="18"/>
                <w:lang w:eastAsia="bg-BG"/>
              </w:rPr>
              <w:t>НАИМЕНОВАНИЕ НА РАЗХОДИТЕ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31DA4C" w14:textId="77777777" w:rsidR="005066BD" w:rsidRPr="005066BD" w:rsidRDefault="005066BD">
            <w:pPr>
              <w:spacing w:after="0" w:line="240" w:lineRule="auto"/>
              <w:jc w:val="center"/>
              <w:rPr>
                <w:rFonts w:ascii="Times New Roman" w:eastAsia="Times New Roman" w:hAnsi="Times New Roman" w:cs="Times New Roman"/>
                <w:b/>
                <w:bCs/>
                <w:sz w:val="18"/>
                <w:szCs w:val="18"/>
                <w:lang w:eastAsia="bg-BG"/>
              </w:rPr>
            </w:pPr>
            <w:r w:rsidRPr="005066BD">
              <w:rPr>
                <w:rFonts w:ascii="Times New Roman" w:eastAsia="Times New Roman" w:hAnsi="Times New Roman" w:cs="Times New Roman"/>
                <w:b/>
                <w:bCs/>
                <w:sz w:val="18"/>
                <w:szCs w:val="18"/>
                <w:lang w:eastAsia="bg-BG"/>
              </w:rPr>
              <w:t>МЯРКА</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255919" w14:textId="77777777" w:rsidR="005066BD" w:rsidRPr="005066BD" w:rsidRDefault="005066BD">
            <w:pPr>
              <w:spacing w:after="0" w:line="240" w:lineRule="auto"/>
              <w:jc w:val="center"/>
              <w:rPr>
                <w:rFonts w:ascii="Times New Roman" w:eastAsia="Times New Roman" w:hAnsi="Times New Roman" w:cs="Times New Roman"/>
                <w:b/>
                <w:bCs/>
                <w:sz w:val="18"/>
                <w:szCs w:val="18"/>
                <w:lang w:eastAsia="bg-BG"/>
              </w:rPr>
            </w:pPr>
            <w:r w:rsidRPr="005066BD">
              <w:rPr>
                <w:rFonts w:ascii="Times New Roman" w:eastAsia="Times New Roman" w:hAnsi="Times New Roman" w:cs="Times New Roman"/>
                <w:b/>
                <w:bCs/>
                <w:sz w:val="18"/>
                <w:szCs w:val="18"/>
                <w:lang w:eastAsia="bg-BG"/>
              </w:rPr>
              <w:t>Прогноза регулаторен период     01.07.2025-30.06.2026</w:t>
            </w:r>
          </w:p>
        </w:tc>
      </w:tr>
      <w:tr w:rsidR="005066BD" w:rsidRPr="005066BD" w14:paraId="1AF22F9A" w14:textId="77777777" w:rsidTr="005066BD">
        <w:trPr>
          <w:trHeight w:val="255"/>
        </w:trPr>
        <w:tc>
          <w:tcPr>
            <w:tcW w:w="541" w:type="dxa"/>
            <w:vMerge/>
            <w:tcBorders>
              <w:top w:val="single" w:sz="4" w:space="0" w:color="auto"/>
              <w:left w:val="single" w:sz="4" w:space="0" w:color="auto"/>
              <w:bottom w:val="single" w:sz="4" w:space="0" w:color="auto"/>
              <w:right w:val="single" w:sz="4" w:space="0" w:color="auto"/>
            </w:tcBorders>
            <w:vAlign w:val="center"/>
            <w:hideMark/>
          </w:tcPr>
          <w:p w14:paraId="0649080A" w14:textId="77777777" w:rsidR="005066BD" w:rsidRPr="005066BD" w:rsidRDefault="005066BD">
            <w:pPr>
              <w:spacing w:after="0" w:line="240" w:lineRule="auto"/>
              <w:rPr>
                <w:rFonts w:ascii="Times New Roman" w:eastAsia="Times New Roman" w:hAnsi="Times New Roman" w:cs="Times New Roman"/>
                <w:b/>
                <w:bCs/>
                <w:sz w:val="18"/>
                <w:szCs w:val="18"/>
                <w:lang w:eastAsia="bg-BG"/>
              </w:rPr>
            </w:pPr>
          </w:p>
        </w:tc>
        <w:tc>
          <w:tcPr>
            <w:tcW w:w="5266" w:type="dxa"/>
            <w:vMerge/>
            <w:tcBorders>
              <w:top w:val="single" w:sz="4" w:space="0" w:color="auto"/>
              <w:left w:val="single" w:sz="4" w:space="0" w:color="auto"/>
              <w:bottom w:val="single" w:sz="4" w:space="0" w:color="auto"/>
              <w:right w:val="single" w:sz="4" w:space="0" w:color="auto"/>
            </w:tcBorders>
            <w:vAlign w:val="center"/>
            <w:hideMark/>
          </w:tcPr>
          <w:p w14:paraId="3AC614F7" w14:textId="77777777" w:rsidR="005066BD" w:rsidRPr="005066BD" w:rsidRDefault="005066BD">
            <w:pPr>
              <w:spacing w:after="0" w:line="240" w:lineRule="auto"/>
              <w:rPr>
                <w:rFonts w:ascii="Times New Roman" w:eastAsia="Times New Roman" w:hAnsi="Times New Roman" w:cs="Times New Roman"/>
                <w:b/>
                <w:bCs/>
                <w:sz w:val="18"/>
                <w:szCs w:val="18"/>
                <w:lang w:eastAsia="bg-BG"/>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1F1D72" w14:textId="77777777" w:rsidR="005066BD" w:rsidRPr="005066BD" w:rsidRDefault="005066BD">
            <w:pPr>
              <w:spacing w:after="0" w:line="240" w:lineRule="auto"/>
              <w:rPr>
                <w:rFonts w:ascii="Times New Roman" w:eastAsia="Times New Roman" w:hAnsi="Times New Roman" w:cs="Times New Roman"/>
                <w:b/>
                <w:bCs/>
                <w:sz w:val="18"/>
                <w:szCs w:val="18"/>
                <w:lang w:eastAsia="bg-BG"/>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DBF285" w14:textId="77777777" w:rsidR="005066BD" w:rsidRPr="005066BD" w:rsidRDefault="005066BD">
            <w:pPr>
              <w:spacing w:after="0" w:line="240" w:lineRule="auto"/>
              <w:rPr>
                <w:rFonts w:ascii="Times New Roman" w:eastAsia="Times New Roman" w:hAnsi="Times New Roman" w:cs="Times New Roman"/>
                <w:b/>
                <w:bCs/>
                <w:sz w:val="18"/>
                <w:szCs w:val="18"/>
                <w:lang w:eastAsia="bg-BG"/>
              </w:rPr>
            </w:pPr>
          </w:p>
        </w:tc>
        <w:tc>
          <w:tcPr>
            <w:tcW w:w="160" w:type="dxa"/>
            <w:tcBorders>
              <w:top w:val="nil"/>
              <w:left w:val="nil"/>
              <w:bottom w:val="nil"/>
              <w:right w:val="nil"/>
            </w:tcBorders>
            <w:shd w:val="clear" w:color="auto" w:fill="auto"/>
            <w:noWrap/>
            <w:vAlign w:val="bottom"/>
            <w:hideMark/>
          </w:tcPr>
          <w:p w14:paraId="42F3B84D" w14:textId="77777777" w:rsidR="005066BD" w:rsidRPr="005066BD" w:rsidRDefault="005066BD">
            <w:pPr>
              <w:spacing w:after="0" w:line="240" w:lineRule="auto"/>
              <w:jc w:val="center"/>
              <w:rPr>
                <w:rFonts w:ascii="Times New Roman" w:eastAsia="Times New Roman" w:hAnsi="Times New Roman" w:cs="Times New Roman"/>
                <w:b/>
                <w:bCs/>
                <w:sz w:val="18"/>
                <w:szCs w:val="18"/>
                <w:lang w:eastAsia="bg-BG"/>
              </w:rPr>
            </w:pPr>
          </w:p>
        </w:tc>
      </w:tr>
      <w:tr w:rsidR="005066BD" w:rsidRPr="005066BD" w14:paraId="3D492B01" w14:textId="77777777" w:rsidTr="005066BD">
        <w:trPr>
          <w:trHeight w:val="645"/>
        </w:trPr>
        <w:tc>
          <w:tcPr>
            <w:tcW w:w="541" w:type="dxa"/>
            <w:vMerge/>
            <w:tcBorders>
              <w:top w:val="single" w:sz="4" w:space="0" w:color="auto"/>
              <w:left w:val="single" w:sz="4" w:space="0" w:color="auto"/>
              <w:bottom w:val="single" w:sz="4" w:space="0" w:color="auto"/>
              <w:right w:val="single" w:sz="4" w:space="0" w:color="auto"/>
            </w:tcBorders>
            <w:vAlign w:val="center"/>
            <w:hideMark/>
          </w:tcPr>
          <w:p w14:paraId="5818E150" w14:textId="77777777" w:rsidR="005066BD" w:rsidRPr="005066BD" w:rsidRDefault="005066BD">
            <w:pPr>
              <w:spacing w:after="0" w:line="240" w:lineRule="auto"/>
              <w:rPr>
                <w:rFonts w:ascii="Times New Roman" w:eastAsia="Times New Roman" w:hAnsi="Times New Roman" w:cs="Times New Roman"/>
                <w:b/>
                <w:bCs/>
                <w:sz w:val="18"/>
                <w:szCs w:val="18"/>
                <w:lang w:eastAsia="bg-BG"/>
              </w:rPr>
            </w:pPr>
          </w:p>
        </w:tc>
        <w:tc>
          <w:tcPr>
            <w:tcW w:w="5266" w:type="dxa"/>
            <w:vMerge/>
            <w:tcBorders>
              <w:top w:val="single" w:sz="4" w:space="0" w:color="auto"/>
              <w:left w:val="single" w:sz="4" w:space="0" w:color="auto"/>
              <w:bottom w:val="single" w:sz="4" w:space="0" w:color="auto"/>
              <w:right w:val="single" w:sz="4" w:space="0" w:color="auto"/>
            </w:tcBorders>
            <w:vAlign w:val="center"/>
            <w:hideMark/>
          </w:tcPr>
          <w:p w14:paraId="4D88A702" w14:textId="77777777" w:rsidR="005066BD" w:rsidRPr="005066BD" w:rsidRDefault="005066BD">
            <w:pPr>
              <w:spacing w:after="0" w:line="240" w:lineRule="auto"/>
              <w:rPr>
                <w:rFonts w:ascii="Times New Roman" w:eastAsia="Times New Roman" w:hAnsi="Times New Roman" w:cs="Times New Roman"/>
                <w:b/>
                <w:bCs/>
                <w:sz w:val="18"/>
                <w:szCs w:val="18"/>
                <w:lang w:eastAsia="bg-BG"/>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E7BD59D" w14:textId="77777777" w:rsidR="005066BD" w:rsidRPr="005066BD" w:rsidRDefault="005066BD">
            <w:pPr>
              <w:spacing w:after="0" w:line="240" w:lineRule="auto"/>
              <w:rPr>
                <w:rFonts w:ascii="Times New Roman" w:eastAsia="Times New Roman" w:hAnsi="Times New Roman" w:cs="Times New Roman"/>
                <w:b/>
                <w:bCs/>
                <w:sz w:val="18"/>
                <w:szCs w:val="18"/>
                <w:lang w:eastAsia="bg-BG"/>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1CD7AD2" w14:textId="77777777" w:rsidR="005066BD" w:rsidRPr="005066BD" w:rsidRDefault="005066BD">
            <w:pPr>
              <w:spacing w:after="0" w:line="240" w:lineRule="auto"/>
              <w:rPr>
                <w:rFonts w:ascii="Times New Roman" w:eastAsia="Times New Roman" w:hAnsi="Times New Roman" w:cs="Times New Roman"/>
                <w:b/>
                <w:bCs/>
                <w:sz w:val="18"/>
                <w:szCs w:val="18"/>
                <w:lang w:eastAsia="bg-BG"/>
              </w:rPr>
            </w:pPr>
          </w:p>
        </w:tc>
        <w:tc>
          <w:tcPr>
            <w:tcW w:w="160" w:type="dxa"/>
            <w:tcBorders>
              <w:top w:val="nil"/>
              <w:left w:val="nil"/>
              <w:bottom w:val="nil"/>
              <w:right w:val="nil"/>
            </w:tcBorders>
            <w:shd w:val="clear" w:color="auto" w:fill="auto"/>
            <w:noWrap/>
            <w:vAlign w:val="bottom"/>
            <w:hideMark/>
          </w:tcPr>
          <w:p w14:paraId="12ED8662" w14:textId="77777777" w:rsidR="005066BD" w:rsidRPr="005066BD" w:rsidRDefault="005066BD">
            <w:pPr>
              <w:spacing w:after="0" w:line="240" w:lineRule="auto"/>
              <w:rPr>
                <w:rFonts w:ascii="Times New Roman" w:eastAsia="Times New Roman" w:hAnsi="Times New Roman" w:cs="Times New Roman"/>
                <w:sz w:val="20"/>
                <w:szCs w:val="20"/>
                <w:lang w:eastAsia="bg-BG"/>
              </w:rPr>
            </w:pPr>
          </w:p>
        </w:tc>
      </w:tr>
      <w:tr w:rsidR="005066BD" w:rsidRPr="005066BD" w14:paraId="1E637771" w14:textId="77777777" w:rsidTr="005066BD">
        <w:trPr>
          <w:trHeight w:val="255"/>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3B039131" w14:textId="77777777" w:rsidR="005066BD" w:rsidRPr="005066BD" w:rsidRDefault="005066BD" w:rsidP="003D51C0">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1</w:t>
            </w:r>
          </w:p>
        </w:tc>
        <w:tc>
          <w:tcPr>
            <w:tcW w:w="5266" w:type="dxa"/>
            <w:tcBorders>
              <w:top w:val="nil"/>
              <w:left w:val="nil"/>
              <w:bottom w:val="single" w:sz="4" w:space="0" w:color="auto"/>
              <w:right w:val="single" w:sz="4" w:space="0" w:color="auto"/>
            </w:tcBorders>
            <w:shd w:val="clear" w:color="auto" w:fill="auto"/>
            <w:vAlign w:val="center"/>
            <w:hideMark/>
          </w:tcPr>
          <w:p w14:paraId="12E5D7C0" w14:textId="77777777" w:rsidR="005066BD" w:rsidRPr="005066BD" w:rsidRDefault="005066BD" w:rsidP="003D51C0">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2</w:t>
            </w:r>
          </w:p>
        </w:tc>
        <w:tc>
          <w:tcPr>
            <w:tcW w:w="1276" w:type="dxa"/>
            <w:tcBorders>
              <w:top w:val="nil"/>
              <w:left w:val="nil"/>
              <w:bottom w:val="single" w:sz="4" w:space="0" w:color="auto"/>
              <w:right w:val="single" w:sz="4" w:space="0" w:color="auto"/>
            </w:tcBorders>
            <w:shd w:val="clear" w:color="auto" w:fill="auto"/>
            <w:vAlign w:val="center"/>
            <w:hideMark/>
          </w:tcPr>
          <w:p w14:paraId="16929727" w14:textId="77777777" w:rsidR="005066BD" w:rsidRPr="005066BD" w:rsidRDefault="005066BD" w:rsidP="003D51C0">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3</w:t>
            </w:r>
          </w:p>
        </w:tc>
        <w:tc>
          <w:tcPr>
            <w:tcW w:w="1843" w:type="dxa"/>
            <w:tcBorders>
              <w:top w:val="nil"/>
              <w:left w:val="nil"/>
              <w:bottom w:val="single" w:sz="4" w:space="0" w:color="auto"/>
              <w:right w:val="single" w:sz="4" w:space="0" w:color="auto"/>
            </w:tcBorders>
            <w:shd w:val="clear" w:color="auto" w:fill="auto"/>
            <w:vAlign w:val="center"/>
            <w:hideMark/>
          </w:tcPr>
          <w:p w14:paraId="4C59E226" w14:textId="3B0CC178" w:rsidR="005066BD" w:rsidRPr="005066BD" w:rsidRDefault="0066193B">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18"/>
                <w:szCs w:val="18"/>
                <w:lang w:eastAsia="bg-BG"/>
              </w:rPr>
              <w:t>4</w:t>
            </w:r>
          </w:p>
        </w:tc>
        <w:tc>
          <w:tcPr>
            <w:tcW w:w="160" w:type="dxa"/>
            <w:shd w:val="clear" w:color="auto" w:fill="auto"/>
            <w:vAlign w:val="center"/>
            <w:hideMark/>
          </w:tcPr>
          <w:p w14:paraId="2F45A8A4" w14:textId="77777777" w:rsidR="005066BD" w:rsidRPr="005066BD" w:rsidRDefault="005066BD">
            <w:pPr>
              <w:spacing w:after="0" w:line="240" w:lineRule="auto"/>
              <w:rPr>
                <w:rFonts w:ascii="Times New Roman" w:eastAsia="Times New Roman" w:hAnsi="Times New Roman" w:cs="Times New Roman"/>
                <w:sz w:val="20"/>
                <w:szCs w:val="20"/>
                <w:lang w:eastAsia="bg-BG"/>
              </w:rPr>
            </w:pPr>
          </w:p>
        </w:tc>
      </w:tr>
      <w:tr w:rsidR="0066193B" w:rsidRPr="005066BD" w14:paraId="4FC8614F" w14:textId="77777777" w:rsidTr="00CE56F9">
        <w:trPr>
          <w:trHeight w:val="24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68E9F80D" w14:textId="77777777" w:rsidR="0066193B" w:rsidRPr="005066BD" w:rsidRDefault="0066193B" w:rsidP="0066193B">
            <w:pPr>
              <w:spacing w:after="0" w:line="240" w:lineRule="auto"/>
              <w:jc w:val="center"/>
              <w:rPr>
                <w:rFonts w:ascii="Times New Roman" w:eastAsia="Times New Roman" w:hAnsi="Times New Roman" w:cs="Times New Roman"/>
                <w:b/>
                <w:bCs/>
                <w:sz w:val="18"/>
                <w:szCs w:val="18"/>
                <w:lang w:eastAsia="bg-BG"/>
              </w:rPr>
            </w:pPr>
            <w:r w:rsidRPr="005066BD">
              <w:rPr>
                <w:rFonts w:ascii="Times New Roman" w:eastAsia="Times New Roman" w:hAnsi="Times New Roman" w:cs="Times New Roman"/>
                <w:b/>
                <w:bCs/>
                <w:sz w:val="18"/>
                <w:szCs w:val="18"/>
                <w:lang w:eastAsia="bg-BG"/>
              </w:rPr>
              <w:t>I</w:t>
            </w:r>
          </w:p>
        </w:tc>
        <w:tc>
          <w:tcPr>
            <w:tcW w:w="5266" w:type="dxa"/>
            <w:tcBorders>
              <w:top w:val="nil"/>
              <w:left w:val="nil"/>
              <w:bottom w:val="single" w:sz="4" w:space="0" w:color="auto"/>
              <w:right w:val="single" w:sz="4" w:space="0" w:color="auto"/>
            </w:tcBorders>
            <w:shd w:val="clear" w:color="auto" w:fill="auto"/>
            <w:noWrap/>
            <w:vAlign w:val="center"/>
            <w:hideMark/>
          </w:tcPr>
          <w:p w14:paraId="72DDE7EE" w14:textId="77777777" w:rsidR="0066193B" w:rsidRPr="005066BD" w:rsidRDefault="0066193B" w:rsidP="0066193B">
            <w:pPr>
              <w:spacing w:after="0" w:line="240" w:lineRule="auto"/>
              <w:rPr>
                <w:rFonts w:ascii="Times New Roman" w:eastAsia="Times New Roman" w:hAnsi="Times New Roman" w:cs="Times New Roman"/>
                <w:b/>
                <w:bCs/>
                <w:sz w:val="18"/>
                <w:szCs w:val="18"/>
                <w:lang w:eastAsia="bg-BG"/>
              </w:rPr>
            </w:pPr>
            <w:r w:rsidRPr="005066BD">
              <w:rPr>
                <w:rFonts w:ascii="Times New Roman" w:eastAsia="Times New Roman" w:hAnsi="Times New Roman" w:cs="Times New Roman"/>
                <w:b/>
                <w:bCs/>
                <w:sz w:val="18"/>
                <w:szCs w:val="18"/>
                <w:lang w:eastAsia="bg-BG"/>
              </w:rPr>
              <w:t>УСЛОВНО-ПОСТОЯННИ   РАЗХОДИ</w:t>
            </w:r>
          </w:p>
        </w:tc>
        <w:tc>
          <w:tcPr>
            <w:tcW w:w="1276" w:type="dxa"/>
            <w:tcBorders>
              <w:top w:val="nil"/>
              <w:left w:val="nil"/>
              <w:bottom w:val="single" w:sz="4" w:space="0" w:color="auto"/>
              <w:right w:val="single" w:sz="4" w:space="0" w:color="auto"/>
            </w:tcBorders>
            <w:shd w:val="clear" w:color="auto" w:fill="auto"/>
            <w:noWrap/>
            <w:vAlign w:val="center"/>
            <w:hideMark/>
          </w:tcPr>
          <w:p w14:paraId="4617942A" w14:textId="77777777" w:rsidR="0066193B" w:rsidRPr="005066BD" w:rsidRDefault="0066193B" w:rsidP="0066193B">
            <w:pPr>
              <w:spacing w:after="0" w:line="240" w:lineRule="auto"/>
              <w:jc w:val="center"/>
              <w:rPr>
                <w:rFonts w:ascii="Times New Roman" w:eastAsia="Times New Roman" w:hAnsi="Times New Roman" w:cs="Times New Roman"/>
                <w:b/>
                <w:bCs/>
                <w:sz w:val="18"/>
                <w:szCs w:val="18"/>
                <w:lang w:eastAsia="bg-BG"/>
              </w:rPr>
            </w:pPr>
            <w:r w:rsidRPr="005066BD">
              <w:rPr>
                <w:rFonts w:ascii="Times New Roman" w:eastAsia="Times New Roman" w:hAnsi="Times New Roman" w:cs="Times New Roman"/>
                <w:b/>
                <w:bCs/>
                <w:sz w:val="18"/>
                <w:szCs w:val="18"/>
                <w:lang w:eastAsia="bg-BG"/>
              </w:rPr>
              <w:t>хил. лв.</w:t>
            </w:r>
          </w:p>
        </w:tc>
        <w:tc>
          <w:tcPr>
            <w:tcW w:w="1843" w:type="dxa"/>
            <w:tcBorders>
              <w:top w:val="nil"/>
              <w:left w:val="nil"/>
              <w:bottom w:val="single" w:sz="4" w:space="0" w:color="auto"/>
              <w:right w:val="single" w:sz="4" w:space="0" w:color="auto"/>
            </w:tcBorders>
            <w:shd w:val="clear" w:color="auto" w:fill="auto"/>
            <w:noWrap/>
          </w:tcPr>
          <w:p w14:paraId="26302B69" w14:textId="66702BCB" w:rsidR="0066193B" w:rsidRPr="005066BD" w:rsidRDefault="0066193B" w:rsidP="0066193B">
            <w:pPr>
              <w:spacing w:after="0" w:line="240" w:lineRule="auto"/>
              <w:jc w:val="center"/>
              <w:rPr>
                <w:rFonts w:ascii="Times New Roman" w:eastAsia="Times New Roman" w:hAnsi="Times New Roman" w:cs="Times New Roman"/>
                <w:b/>
                <w:bCs/>
                <w:sz w:val="18"/>
                <w:szCs w:val="18"/>
                <w:lang w:eastAsia="bg-BG"/>
              </w:rPr>
            </w:pPr>
            <w:r>
              <w:rPr>
                <w:rFonts w:ascii="Times New Roman" w:eastAsia="Times New Roman" w:hAnsi="Times New Roman" w:cs="Times New Roman"/>
                <w:sz w:val="20"/>
                <w:szCs w:val="20"/>
                <w:lang w:eastAsia="bg-BG"/>
              </w:rPr>
              <w:t>………………</w:t>
            </w:r>
          </w:p>
        </w:tc>
        <w:tc>
          <w:tcPr>
            <w:tcW w:w="160" w:type="dxa"/>
            <w:vAlign w:val="center"/>
            <w:hideMark/>
          </w:tcPr>
          <w:p w14:paraId="20FE1DC2" w14:textId="77777777" w:rsidR="0066193B" w:rsidRPr="005066BD" w:rsidRDefault="0066193B" w:rsidP="0066193B">
            <w:pPr>
              <w:spacing w:after="0" w:line="240" w:lineRule="auto"/>
              <w:rPr>
                <w:rFonts w:ascii="Times New Roman" w:eastAsia="Times New Roman" w:hAnsi="Times New Roman" w:cs="Times New Roman"/>
                <w:sz w:val="20"/>
                <w:szCs w:val="20"/>
                <w:lang w:eastAsia="bg-BG"/>
              </w:rPr>
            </w:pPr>
          </w:p>
        </w:tc>
      </w:tr>
      <w:tr w:rsidR="0066193B" w:rsidRPr="005066BD" w14:paraId="19BF5175" w14:textId="77777777" w:rsidTr="00CE56F9">
        <w:trPr>
          <w:trHeight w:val="255"/>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5549F8A0" w14:textId="77777777" w:rsidR="0066193B" w:rsidRPr="005066BD" w:rsidRDefault="0066193B" w:rsidP="0066193B">
            <w:pPr>
              <w:spacing w:after="0" w:line="240" w:lineRule="auto"/>
              <w:jc w:val="center"/>
              <w:rPr>
                <w:rFonts w:ascii="Times New Roman" w:eastAsia="Times New Roman" w:hAnsi="Times New Roman" w:cs="Times New Roman"/>
                <w:b/>
                <w:bCs/>
                <w:sz w:val="18"/>
                <w:szCs w:val="18"/>
                <w:lang w:eastAsia="bg-BG"/>
              </w:rPr>
            </w:pPr>
            <w:r w:rsidRPr="005066BD">
              <w:rPr>
                <w:rFonts w:ascii="Times New Roman" w:eastAsia="Times New Roman" w:hAnsi="Times New Roman" w:cs="Times New Roman"/>
                <w:b/>
                <w:bCs/>
                <w:sz w:val="18"/>
                <w:szCs w:val="18"/>
                <w:lang w:eastAsia="bg-BG"/>
              </w:rPr>
              <w:t>1</w:t>
            </w:r>
          </w:p>
        </w:tc>
        <w:tc>
          <w:tcPr>
            <w:tcW w:w="5266" w:type="dxa"/>
            <w:tcBorders>
              <w:top w:val="nil"/>
              <w:left w:val="nil"/>
              <w:bottom w:val="single" w:sz="4" w:space="0" w:color="auto"/>
              <w:right w:val="single" w:sz="4" w:space="0" w:color="auto"/>
            </w:tcBorders>
            <w:shd w:val="clear" w:color="auto" w:fill="auto"/>
            <w:vAlign w:val="center"/>
            <w:hideMark/>
          </w:tcPr>
          <w:p w14:paraId="11D405AB" w14:textId="77777777" w:rsidR="0066193B" w:rsidRPr="005066BD" w:rsidRDefault="0066193B" w:rsidP="0066193B">
            <w:pPr>
              <w:spacing w:after="0" w:line="240" w:lineRule="auto"/>
              <w:rPr>
                <w:rFonts w:ascii="Times New Roman" w:eastAsia="Times New Roman" w:hAnsi="Times New Roman" w:cs="Times New Roman"/>
                <w:b/>
                <w:bCs/>
                <w:sz w:val="18"/>
                <w:szCs w:val="18"/>
                <w:lang w:eastAsia="bg-BG"/>
              </w:rPr>
            </w:pPr>
            <w:r w:rsidRPr="005066BD">
              <w:rPr>
                <w:rFonts w:ascii="Times New Roman" w:eastAsia="Times New Roman" w:hAnsi="Times New Roman" w:cs="Times New Roman"/>
                <w:b/>
                <w:bCs/>
                <w:sz w:val="18"/>
                <w:szCs w:val="18"/>
                <w:lang w:eastAsia="bg-BG"/>
              </w:rPr>
              <w:t>Разходи за заплати (възнаграждения)</w:t>
            </w:r>
          </w:p>
        </w:tc>
        <w:tc>
          <w:tcPr>
            <w:tcW w:w="1276" w:type="dxa"/>
            <w:tcBorders>
              <w:top w:val="nil"/>
              <w:left w:val="nil"/>
              <w:bottom w:val="single" w:sz="4" w:space="0" w:color="auto"/>
              <w:right w:val="single" w:sz="4" w:space="0" w:color="auto"/>
            </w:tcBorders>
            <w:shd w:val="clear" w:color="auto" w:fill="auto"/>
            <w:noWrap/>
            <w:vAlign w:val="center"/>
            <w:hideMark/>
          </w:tcPr>
          <w:p w14:paraId="0DEA280C" w14:textId="77777777" w:rsidR="0066193B" w:rsidRPr="005066BD" w:rsidRDefault="0066193B" w:rsidP="0066193B">
            <w:pPr>
              <w:spacing w:after="0" w:line="240" w:lineRule="auto"/>
              <w:jc w:val="center"/>
              <w:rPr>
                <w:rFonts w:ascii="Times New Roman" w:eastAsia="Times New Roman" w:hAnsi="Times New Roman" w:cs="Times New Roman"/>
                <w:b/>
                <w:bCs/>
                <w:sz w:val="18"/>
                <w:szCs w:val="18"/>
                <w:lang w:eastAsia="bg-BG"/>
              </w:rPr>
            </w:pPr>
            <w:r w:rsidRPr="005066BD">
              <w:rPr>
                <w:rFonts w:ascii="Times New Roman" w:eastAsia="Times New Roman" w:hAnsi="Times New Roman" w:cs="Times New Roman"/>
                <w:b/>
                <w:bCs/>
                <w:sz w:val="18"/>
                <w:szCs w:val="18"/>
                <w:lang w:eastAsia="bg-BG"/>
              </w:rPr>
              <w:t>хил. лв.</w:t>
            </w:r>
          </w:p>
        </w:tc>
        <w:tc>
          <w:tcPr>
            <w:tcW w:w="1843" w:type="dxa"/>
            <w:tcBorders>
              <w:top w:val="nil"/>
              <w:left w:val="nil"/>
              <w:bottom w:val="single" w:sz="4" w:space="0" w:color="auto"/>
              <w:right w:val="single" w:sz="4" w:space="0" w:color="auto"/>
            </w:tcBorders>
            <w:shd w:val="clear" w:color="auto" w:fill="auto"/>
            <w:noWrap/>
          </w:tcPr>
          <w:p w14:paraId="3B7E44F9" w14:textId="784CFE22" w:rsidR="0066193B" w:rsidRPr="005066BD" w:rsidRDefault="0066193B" w:rsidP="0066193B">
            <w:pPr>
              <w:spacing w:after="0" w:line="240" w:lineRule="auto"/>
              <w:jc w:val="center"/>
              <w:rPr>
                <w:rFonts w:ascii="Times New Roman" w:eastAsia="Times New Roman" w:hAnsi="Times New Roman" w:cs="Times New Roman"/>
                <w:b/>
                <w:bCs/>
                <w:sz w:val="18"/>
                <w:szCs w:val="18"/>
                <w:lang w:eastAsia="bg-BG"/>
              </w:rPr>
            </w:pPr>
            <w:r>
              <w:rPr>
                <w:rFonts w:ascii="Times New Roman" w:eastAsia="Times New Roman" w:hAnsi="Times New Roman" w:cs="Times New Roman"/>
                <w:sz w:val="20"/>
                <w:szCs w:val="20"/>
                <w:lang w:eastAsia="bg-BG"/>
              </w:rPr>
              <w:t>………………</w:t>
            </w:r>
          </w:p>
        </w:tc>
        <w:tc>
          <w:tcPr>
            <w:tcW w:w="160" w:type="dxa"/>
            <w:vAlign w:val="center"/>
            <w:hideMark/>
          </w:tcPr>
          <w:p w14:paraId="7628E3FD" w14:textId="77777777" w:rsidR="0066193B" w:rsidRPr="005066BD" w:rsidRDefault="0066193B" w:rsidP="0066193B">
            <w:pPr>
              <w:spacing w:after="0" w:line="240" w:lineRule="auto"/>
              <w:rPr>
                <w:rFonts w:ascii="Times New Roman" w:eastAsia="Times New Roman" w:hAnsi="Times New Roman" w:cs="Times New Roman"/>
                <w:sz w:val="20"/>
                <w:szCs w:val="20"/>
                <w:lang w:eastAsia="bg-BG"/>
              </w:rPr>
            </w:pPr>
          </w:p>
        </w:tc>
      </w:tr>
      <w:tr w:rsidR="0066193B" w:rsidRPr="005066BD" w14:paraId="67786B2A" w14:textId="77777777" w:rsidTr="00CE56F9">
        <w:trPr>
          <w:trHeight w:val="378"/>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5BA4A262" w14:textId="77777777" w:rsidR="0066193B" w:rsidRPr="005066BD" w:rsidRDefault="0066193B" w:rsidP="0066193B">
            <w:pPr>
              <w:spacing w:after="0" w:line="240" w:lineRule="auto"/>
              <w:jc w:val="center"/>
              <w:rPr>
                <w:rFonts w:ascii="Times New Roman" w:eastAsia="Times New Roman" w:hAnsi="Times New Roman" w:cs="Times New Roman"/>
                <w:b/>
                <w:bCs/>
                <w:sz w:val="18"/>
                <w:szCs w:val="18"/>
                <w:lang w:eastAsia="bg-BG"/>
              </w:rPr>
            </w:pPr>
            <w:r w:rsidRPr="005066BD">
              <w:rPr>
                <w:rFonts w:ascii="Times New Roman" w:eastAsia="Times New Roman" w:hAnsi="Times New Roman" w:cs="Times New Roman"/>
                <w:b/>
                <w:bCs/>
                <w:sz w:val="18"/>
                <w:szCs w:val="18"/>
                <w:lang w:eastAsia="bg-BG"/>
              </w:rPr>
              <w:t>2</w:t>
            </w:r>
          </w:p>
        </w:tc>
        <w:tc>
          <w:tcPr>
            <w:tcW w:w="5266" w:type="dxa"/>
            <w:tcBorders>
              <w:top w:val="nil"/>
              <w:left w:val="nil"/>
              <w:bottom w:val="single" w:sz="4" w:space="0" w:color="auto"/>
              <w:right w:val="single" w:sz="4" w:space="0" w:color="auto"/>
            </w:tcBorders>
            <w:shd w:val="clear" w:color="auto" w:fill="auto"/>
            <w:vAlign w:val="center"/>
            <w:hideMark/>
          </w:tcPr>
          <w:p w14:paraId="55F6823C" w14:textId="77777777" w:rsidR="0066193B" w:rsidRPr="005066BD" w:rsidRDefault="0066193B" w:rsidP="0066193B">
            <w:pPr>
              <w:spacing w:after="0" w:line="240" w:lineRule="auto"/>
              <w:rPr>
                <w:rFonts w:ascii="Times New Roman" w:eastAsia="Times New Roman" w:hAnsi="Times New Roman" w:cs="Times New Roman"/>
                <w:b/>
                <w:bCs/>
                <w:sz w:val="18"/>
                <w:szCs w:val="18"/>
                <w:lang w:eastAsia="bg-BG"/>
              </w:rPr>
            </w:pPr>
            <w:r w:rsidRPr="005066BD">
              <w:rPr>
                <w:rFonts w:ascii="Times New Roman" w:eastAsia="Times New Roman" w:hAnsi="Times New Roman" w:cs="Times New Roman"/>
                <w:b/>
                <w:bCs/>
                <w:sz w:val="18"/>
                <w:szCs w:val="18"/>
                <w:lang w:eastAsia="bg-BG"/>
              </w:rPr>
              <w:t>Начисления, свързани с т.1, по действащото законодателство</w:t>
            </w:r>
          </w:p>
        </w:tc>
        <w:tc>
          <w:tcPr>
            <w:tcW w:w="1276" w:type="dxa"/>
            <w:tcBorders>
              <w:top w:val="nil"/>
              <w:left w:val="nil"/>
              <w:bottom w:val="single" w:sz="4" w:space="0" w:color="auto"/>
              <w:right w:val="single" w:sz="4" w:space="0" w:color="auto"/>
            </w:tcBorders>
            <w:shd w:val="clear" w:color="auto" w:fill="auto"/>
            <w:noWrap/>
            <w:vAlign w:val="center"/>
            <w:hideMark/>
          </w:tcPr>
          <w:p w14:paraId="6CEF2291" w14:textId="77777777" w:rsidR="0066193B" w:rsidRPr="005066BD" w:rsidRDefault="0066193B" w:rsidP="0066193B">
            <w:pPr>
              <w:spacing w:after="0" w:line="240" w:lineRule="auto"/>
              <w:jc w:val="center"/>
              <w:rPr>
                <w:rFonts w:ascii="Times New Roman" w:eastAsia="Times New Roman" w:hAnsi="Times New Roman" w:cs="Times New Roman"/>
                <w:b/>
                <w:bCs/>
                <w:sz w:val="18"/>
                <w:szCs w:val="18"/>
                <w:lang w:eastAsia="bg-BG"/>
              </w:rPr>
            </w:pPr>
            <w:r w:rsidRPr="005066BD">
              <w:rPr>
                <w:rFonts w:ascii="Times New Roman" w:eastAsia="Times New Roman" w:hAnsi="Times New Roman" w:cs="Times New Roman"/>
                <w:b/>
                <w:bCs/>
                <w:sz w:val="18"/>
                <w:szCs w:val="18"/>
                <w:lang w:eastAsia="bg-BG"/>
              </w:rPr>
              <w:t>хил. лв.</w:t>
            </w:r>
          </w:p>
        </w:tc>
        <w:tc>
          <w:tcPr>
            <w:tcW w:w="1843" w:type="dxa"/>
            <w:tcBorders>
              <w:top w:val="nil"/>
              <w:left w:val="nil"/>
              <w:bottom w:val="single" w:sz="4" w:space="0" w:color="auto"/>
              <w:right w:val="single" w:sz="4" w:space="0" w:color="auto"/>
            </w:tcBorders>
            <w:shd w:val="clear" w:color="auto" w:fill="auto"/>
            <w:noWrap/>
          </w:tcPr>
          <w:p w14:paraId="0F553826" w14:textId="3CBE5410" w:rsidR="0066193B" w:rsidRPr="005066BD" w:rsidRDefault="0066193B" w:rsidP="0066193B">
            <w:pPr>
              <w:spacing w:after="0" w:line="240" w:lineRule="auto"/>
              <w:jc w:val="center"/>
              <w:rPr>
                <w:rFonts w:ascii="Times New Roman" w:eastAsia="Times New Roman" w:hAnsi="Times New Roman" w:cs="Times New Roman"/>
                <w:b/>
                <w:bCs/>
                <w:sz w:val="18"/>
                <w:szCs w:val="18"/>
                <w:lang w:eastAsia="bg-BG"/>
              </w:rPr>
            </w:pPr>
            <w:r>
              <w:rPr>
                <w:rFonts w:ascii="Times New Roman" w:eastAsia="Times New Roman" w:hAnsi="Times New Roman" w:cs="Times New Roman"/>
                <w:sz w:val="20"/>
                <w:szCs w:val="20"/>
                <w:lang w:eastAsia="bg-BG"/>
              </w:rPr>
              <w:t>………………</w:t>
            </w:r>
          </w:p>
        </w:tc>
        <w:tc>
          <w:tcPr>
            <w:tcW w:w="160" w:type="dxa"/>
            <w:vAlign w:val="center"/>
            <w:hideMark/>
          </w:tcPr>
          <w:p w14:paraId="5357B99C" w14:textId="77777777" w:rsidR="0066193B" w:rsidRPr="005066BD" w:rsidRDefault="0066193B" w:rsidP="0066193B">
            <w:pPr>
              <w:spacing w:after="0" w:line="240" w:lineRule="auto"/>
              <w:rPr>
                <w:rFonts w:ascii="Times New Roman" w:eastAsia="Times New Roman" w:hAnsi="Times New Roman" w:cs="Times New Roman"/>
                <w:sz w:val="20"/>
                <w:szCs w:val="20"/>
                <w:lang w:eastAsia="bg-BG"/>
              </w:rPr>
            </w:pPr>
          </w:p>
        </w:tc>
      </w:tr>
      <w:tr w:rsidR="0066193B" w:rsidRPr="005066BD" w14:paraId="3C2D929D" w14:textId="77777777" w:rsidTr="00CE56F9">
        <w:trPr>
          <w:trHeight w:val="255"/>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11B40DC4"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2.1</w:t>
            </w:r>
          </w:p>
        </w:tc>
        <w:tc>
          <w:tcPr>
            <w:tcW w:w="5266" w:type="dxa"/>
            <w:tcBorders>
              <w:top w:val="nil"/>
              <w:left w:val="nil"/>
              <w:bottom w:val="single" w:sz="4" w:space="0" w:color="auto"/>
              <w:right w:val="single" w:sz="4" w:space="0" w:color="auto"/>
            </w:tcBorders>
            <w:shd w:val="clear" w:color="auto" w:fill="auto"/>
            <w:vAlign w:val="center"/>
            <w:hideMark/>
          </w:tcPr>
          <w:p w14:paraId="4380D412" w14:textId="77777777" w:rsidR="0066193B" w:rsidRPr="005066BD" w:rsidRDefault="0066193B" w:rsidP="0066193B">
            <w:pPr>
              <w:spacing w:after="0" w:line="240" w:lineRule="auto"/>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осигурителни вноски</w:t>
            </w:r>
          </w:p>
        </w:tc>
        <w:tc>
          <w:tcPr>
            <w:tcW w:w="1276" w:type="dxa"/>
            <w:tcBorders>
              <w:top w:val="nil"/>
              <w:left w:val="nil"/>
              <w:bottom w:val="single" w:sz="4" w:space="0" w:color="auto"/>
              <w:right w:val="single" w:sz="4" w:space="0" w:color="auto"/>
            </w:tcBorders>
            <w:shd w:val="clear" w:color="auto" w:fill="auto"/>
            <w:noWrap/>
            <w:vAlign w:val="center"/>
            <w:hideMark/>
          </w:tcPr>
          <w:p w14:paraId="40549566"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хил. лв.</w:t>
            </w:r>
          </w:p>
        </w:tc>
        <w:tc>
          <w:tcPr>
            <w:tcW w:w="1843" w:type="dxa"/>
            <w:tcBorders>
              <w:top w:val="nil"/>
              <w:left w:val="nil"/>
              <w:bottom w:val="single" w:sz="4" w:space="0" w:color="auto"/>
              <w:right w:val="single" w:sz="4" w:space="0" w:color="auto"/>
            </w:tcBorders>
            <w:shd w:val="clear" w:color="auto" w:fill="auto"/>
            <w:noWrap/>
          </w:tcPr>
          <w:p w14:paraId="409E3CB5" w14:textId="6CABD170"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c>
          <w:tcPr>
            <w:tcW w:w="160" w:type="dxa"/>
            <w:vAlign w:val="center"/>
            <w:hideMark/>
          </w:tcPr>
          <w:p w14:paraId="118BD315" w14:textId="77777777" w:rsidR="0066193B" w:rsidRPr="005066BD" w:rsidRDefault="0066193B" w:rsidP="0066193B">
            <w:pPr>
              <w:spacing w:after="0" w:line="240" w:lineRule="auto"/>
              <w:rPr>
                <w:rFonts w:ascii="Times New Roman" w:eastAsia="Times New Roman" w:hAnsi="Times New Roman" w:cs="Times New Roman"/>
                <w:sz w:val="20"/>
                <w:szCs w:val="20"/>
                <w:lang w:eastAsia="bg-BG"/>
              </w:rPr>
            </w:pPr>
          </w:p>
        </w:tc>
      </w:tr>
      <w:tr w:rsidR="0066193B" w:rsidRPr="005066BD" w14:paraId="20D3DCA1" w14:textId="77777777" w:rsidTr="00CE56F9">
        <w:trPr>
          <w:trHeight w:val="255"/>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3B5E5D8A"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2.2</w:t>
            </w:r>
          </w:p>
        </w:tc>
        <w:tc>
          <w:tcPr>
            <w:tcW w:w="5266" w:type="dxa"/>
            <w:tcBorders>
              <w:top w:val="nil"/>
              <w:left w:val="nil"/>
              <w:bottom w:val="single" w:sz="4" w:space="0" w:color="auto"/>
              <w:right w:val="single" w:sz="4" w:space="0" w:color="auto"/>
            </w:tcBorders>
            <w:shd w:val="clear" w:color="auto" w:fill="auto"/>
            <w:vAlign w:val="center"/>
            <w:hideMark/>
          </w:tcPr>
          <w:p w14:paraId="2E373C11" w14:textId="77777777" w:rsidR="0066193B" w:rsidRPr="005066BD" w:rsidRDefault="0066193B" w:rsidP="0066193B">
            <w:pPr>
              <w:spacing w:after="0" w:line="240" w:lineRule="auto"/>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социални разходи</w:t>
            </w:r>
          </w:p>
        </w:tc>
        <w:tc>
          <w:tcPr>
            <w:tcW w:w="1276" w:type="dxa"/>
            <w:tcBorders>
              <w:top w:val="nil"/>
              <w:left w:val="nil"/>
              <w:bottom w:val="single" w:sz="4" w:space="0" w:color="auto"/>
              <w:right w:val="single" w:sz="4" w:space="0" w:color="auto"/>
            </w:tcBorders>
            <w:shd w:val="clear" w:color="auto" w:fill="auto"/>
            <w:noWrap/>
            <w:vAlign w:val="center"/>
            <w:hideMark/>
          </w:tcPr>
          <w:p w14:paraId="18083637"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хил. лв.</w:t>
            </w:r>
          </w:p>
        </w:tc>
        <w:tc>
          <w:tcPr>
            <w:tcW w:w="1843" w:type="dxa"/>
            <w:tcBorders>
              <w:top w:val="nil"/>
              <w:left w:val="nil"/>
              <w:bottom w:val="single" w:sz="4" w:space="0" w:color="auto"/>
              <w:right w:val="single" w:sz="4" w:space="0" w:color="auto"/>
            </w:tcBorders>
            <w:shd w:val="clear" w:color="auto" w:fill="auto"/>
            <w:noWrap/>
          </w:tcPr>
          <w:p w14:paraId="4593EFE4" w14:textId="168E978C"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c>
          <w:tcPr>
            <w:tcW w:w="160" w:type="dxa"/>
            <w:vAlign w:val="center"/>
            <w:hideMark/>
          </w:tcPr>
          <w:p w14:paraId="5766E108" w14:textId="77777777" w:rsidR="0066193B" w:rsidRPr="005066BD" w:rsidRDefault="0066193B" w:rsidP="0066193B">
            <w:pPr>
              <w:spacing w:after="0" w:line="240" w:lineRule="auto"/>
              <w:rPr>
                <w:rFonts w:ascii="Times New Roman" w:eastAsia="Times New Roman" w:hAnsi="Times New Roman" w:cs="Times New Roman"/>
                <w:sz w:val="20"/>
                <w:szCs w:val="20"/>
                <w:lang w:eastAsia="bg-BG"/>
              </w:rPr>
            </w:pPr>
          </w:p>
        </w:tc>
      </w:tr>
      <w:tr w:rsidR="0066193B" w:rsidRPr="005066BD" w14:paraId="4720BB11" w14:textId="77777777" w:rsidTr="00CE56F9">
        <w:trPr>
          <w:trHeight w:val="36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7AC3D577" w14:textId="77777777" w:rsidR="0066193B" w:rsidRPr="005066BD" w:rsidRDefault="0066193B" w:rsidP="0066193B">
            <w:pPr>
              <w:spacing w:after="0" w:line="240" w:lineRule="auto"/>
              <w:jc w:val="center"/>
              <w:rPr>
                <w:rFonts w:ascii="Times New Roman" w:eastAsia="Times New Roman" w:hAnsi="Times New Roman" w:cs="Times New Roman"/>
                <w:b/>
                <w:bCs/>
                <w:sz w:val="18"/>
                <w:szCs w:val="18"/>
                <w:lang w:eastAsia="bg-BG"/>
              </w:rPr>
            </w:pPr>
            <w:r w:rsidRPr="005066BD">
              <w:rPr>
                <w:rFonts w:ascii="Times New Roman" w:eastAsia="Times New Roman" w:hAnsi="Times New Roman" w:cs="Times New Roman"/>
                <w:b/>
                <w:bCs/>
                <w:sz w:val="18"/>
                <w:szCs w:val="18"/>
                <w:lang w:eastAsia="bg-BG"/>
              </w:rPr>
              <w:t>3</w:t>
            </w:r>
          </w:p>
        </w:tc>
        <w:tc>
          <w:tcPr>
            <w:tcW w:w="5266" w:type="dxa"/>
            <w:tcBorders>
              <w:top w:val="nil"/>
              <w:left w:val="nil"/>
              <w:bottom w:val="single" w:sz="4" w:space="0" w:color="auto"/>
              <w:right w:val="single" w:sz="4" w:space="0" w:color="auto"/>
            </w:tcBorders>
            <w:shd w:val="clear" w:color="auto" w:fill="auto"/>
            <w:vAlign w:val="center"/>
            <w:hideMark/>
          </w:tcPr>
          <w:p w14:paraId="45E13349" w14:textId="77777777" w:rsidR="0066193B" w:rsidRPr="005066BD" w:rsidRDefault="0066193B" w:rsidP="0066193B">
            <w:pPr>
              <w:spacing w:after="0" w:line="240" w:lineRule="auto"/>
              <w:rPr>
                <w:rFonts w:ascii="Times New Roman" w:eastAsia="Times New Roman" w:hAnsi="Times New Roman" w:cs="Times New Roman"/>
                <w:b/>
                <w:bCs/>
                <w:sz w:val="18"/>
                <w:szCs w:val="18"/>
                <w:lang w:eastAsia="bg-BG"/>
              </w:rPr>
            </w:pPr>
            <w:r w:rsidRPr="005066BD">
              <w:rPr>
                <w:rFonts w:ascii="Times New Roman" w:eastAsia="Times New Roman" w:hAnsi="Times New Roman" w:cs="Times New Roman"/>
                <w:b/>
                <w:bCs/>
                <w:sz w:val="18"/>
                <w:szCs w:val="18"/>
                <w:lang w:eastAsia="bg-BG"/>
              </w:rPr>
              <w:t xml:space="preserve">Разходи за амортизации </w:t>
            </w:r>
          </w:p>
        </w:tc>
        <w:tc>
          <w:tcPr>
            <w:tcW w:w="1276" w:type="dxa"/>
            <w:tcBorders>
              <w:top w:val="nil"/>
              <w:left w:val="nil"/>
              <w:bottom w:val="single" w:sz="4" w:space="0" w:color="auto"/>
              <w:right w:val="single" w:sz="4" w:space="0" w:color="auto"/>
            </w:tcBorders>
            <w:shd w:val="clear" w:color="auto" w:fill="auto"/>
            <w:noWrap/>
            <w:vAlign w:val="center"/>
            <w:hideMark/>
          </w:tcPr>
          <w:p w14:paraId="6B795780" w14:textId="77777777" w:rsidR="0066193B" w:rsidRPr="005066BD" w:rsidRDefault="0066193B" w:rsidP="0066193B">
            <w:pPr>
              <w:spacing w:after="0" w:line="240" w:lineRule="auto"/>
              <w:jc w:val="center"/>
              <w:rPr>
                <w:rFonts w:ascii="Times New Roman" w:eastAsia="Times New Roman" w:hAnsi="Times New Roman" w:cs="Times New Roman"/>
                <w:b/>
                <w:bCs/>
                <w:sz w:val="18"/>
                <w:szCs w:val="18"/>
                <w:lang w:eastAsia="bg-BG"/>
              </w:rPr>
            </w:pPr>
            <w:r w:rsidRPr="005066BD">
              <w:rPr>
                <w:rFonts w:ascii="Times New Roman" w:eastAsia="Times New Roman" w:hAnsi="Times New Roman" w:cs="Times New Roman"/>
                <w:b/>
                <w:bCs/>
                <w:sz w:val="18"/>
                <w:szCs w:val="18"/>
                <w:lang w:eastAsia="bg-BG"/>
              </w:rPr>
              <w:t>хил. лв.</w:t>
            </w:r>
          </w:p>
        </w:tc>
        <w:tc>
          <w:tcPr>
            <w:tcW w:w="1843" w:type="dxa"/>
            <w:tcBorders>
              <w:top w:val="nil"/>
              <w:left w:val="nil"/>
              <w:bottom w:val="single" w:sz="4" w:space="0" w:color="auto"/>
              <w:right w:val="single" w:sz="4" w:space="0" w:color="auto"/>
            </w:tcBorders>
            <w:shd w:val="clear" w:color="auto" w:fill="auto"/>
            <w:noWrap/>
          </w:tcPr>
          <w:p w14:paraId="1B584525" w14:textId="77589206" w:rsidR="0066193B" w:rsidRPr="005066BD" w:rsidRDefault="0066193B" w:rsidP="0066193B">
            <w:pPr>
              <w:spacing w:after="0" w:line="240" w:lineRule="auto"/>
              <w:jc w:val="center"/>
              <w:rPr>
                <w:rFonts w:ascii="Times New Roman" w:eastAsia="Times New Roman" w:hAnsi="Times New Roman" w:cs="Times New Roman"/>
                <w:b/>
                <w:bCs/>
                <w:sz w:val="18"/>
                <w:szCs w:val="18"/>
                <w:lang w:eastAsia="bg-BG"/>
              </w:rPr>
            </w:pPr>
            <w:r>
              <w:rPr>
                <w:rFonts w:ascii="Times New Roman" w:eastAsia="Times New Roman" w:hAnsi="Times New Roman" w:cs="Times New Roman"/>
                <w:sz w:val="20"/>
                <w:szCs w:val="20"/>
                <w:lang w:eastAsia="bg-BG"/>
              </w:rPr>
              <w:t>………………</w:t>
            </w:r>
          </w:p>
        </w:tc>
        <w:tc>
          <w:tcPr>
            <w:tcW w:w="160" w:type="dxa"/>
            <w:vAlign w:val="center"/>
            <w:hideMark/>
          </w:tcPr>
          <w:p w14:paraId="24616307" w14:textId="77777777" w:rsidR="0066193B" w:rsidRPr="005066BD" w:rsidRDefault="0066193B" w:rsidP="0066193B">
            <w:pPr>
              <w:spacing w:after="0" w:line="240" w:lineRule="auto"/>
              <w:rPr>
                <w:rFonts w:ascii="Times New Roman" w:eastAsia="Times New Roman" w:hAnsi="Times New Roman" w:cs="Times New Roman"/>
                <w:sz w:val="20"/>
                <w:szCs w:val="20"/>
                <w:lang w:eastAsia="bg-BG"/>
              </w:rPr>
            </w:pPr>
          </w:p>
        </w:tc>
      </w:tr>
      <w:tr w:rsidR="0066193B" w:rsidRPr="005066BD" w14:paraId="6CE835A9" w14:textId="77777777" w:rsidTr="00CE56F9">
        <w:trPr>
          <w:trHeight w:val="255"/>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4DB54581" w14:textId="77777777" w:rsidR="0066193B" w:rsidRPr="005066BD" w:rsidRDefault="0066193B" w:rsidP="0066193B">
            <w:pPr>
              <w:spacing w:after="0" w:line="240" w:lineRule="auto"/>
              <w:jc w:val="center"/>
              <w:rPr>
                <w:rFonts w:ascii="Times New Roman" w:eastAsia="Times New Roman" w:hAnsi="Times New Roman" w:cs="Times New Roman"/>
                <w:b/>
                <w:bCs/>
                <w:sz w:val="18"/>
                <w:szCs w:val="18"/>
                <w:lang w:eastAsia="bg-BG"/>
              </w:rPr>
            </w:pPr>
            <w:r w:rsidRPr="005066BD">
              <w:rPr>
                <w:rFonts w:ascii="Times New Roman" w:eastAsia="Times New Roman" w:hAnsi="Times New Roman" w:cs="Times New Roman"/>
                <w:b/>
                <w:bCs/>
                <w:sz w:val="18"/>
                <w:szCs w:val="18"/>
                <w:lang w:eastAsia="bg-BG"/>
              </w:rPr>
              <w:t>4</w:t>
            </w:r>
          </w:p>
        </w:tc>
        <w:tc>
          <w:tcPr>
            <w:tcW w:w="5266" w:type="dxa"/>
            <w:tcBorders>
              <w:top w:val="nil"/>
              <w:left w:val="nil"/>
              <w:bottom w:val="single" w:sz="4" w:space="0" w:color="auto"/>
              <w:right w:val="single" w:sz="4" w:space="0" w:color="auto"/>
            </w:tcBorders>
            <w:shd w:val="clear" w:color="auto" w:fill="auto"/>
            <w:vAlign w:val="center"/>
            <w:hideMark/>
          </w:tcPr>
          <w:p w14:paraId="3E3846E5" w14:textId="77777777" w:rsidR="0066193B" w:rsidRPr="005066BD" w:rsidRDefault="0066193B" w:rsidP="0066193B">
            <w:pPr>
              <w:spacing w:after="0" w:line="240" w:lineRule="auto"/>
              <w:rPr>
                <w:rFonts w:ascii="Times New Roman" w:eastAsia="Times New Roman" w:hAnsi="Times New Roman" w:cs="Times New Roman"/>
                <w:b/>
                <w:bCs/>
                <w:sz w:val="18"/>
                <w:szCs w:val="18"/>
                <w:lang w:eastAsia="bg-BG"/>
              </w:rPr>
            </w:pPr>
            <w:r w:rsidRPr="005066BD">
              <w:rPr>
                <w:rFonts w:ascii="Times New Roman" w:eastAsia="Times New Roman" w:hAnsi="Times New Roman" w:cs="Times New Roman"/>
                <w:b/>
                <w:bCs/>
                <w:sz w:val="18"/>
                <w:szCs w:val="18"/>
                <w:lang w:eastAsia="bg-BG"/>
              </w:rPr>
              <w:t>Разходи за ремонт</w:t>
            </w:r>
          </w:p>
        </w:tc>
        <w:tc>
          <w:tcPr>
            <w:tcW w:w="1276" w:type="dxa"/>
            <w:tcBorders>
              <w:top w:val="nil"/>
              <w:left w:val="nil"/>
              <w:bottom w:val="single" w:sz="4" w:space="0" w:color="auto"/>
              <w:right w:val="single" w:sz="4" w:space="0" w:color="auto"/>
            </w:tcBorders>
            <w:shd w:val="clear" w:color="auto" w:fill="auto"/>
            <w:noWrap/>
            <w:vAlign w:val="center"/>
            <w:hideMark/>
          </w:tcPr>
          <w:p w14:paraId="1004A1A7" w14:textId="77777777" w:rsidR="0066193B" w:rsidRPr="005066BD" w:rsidRDefault="0066193B" w:rsidP="0066193B">
            <w:pPr>
              <w:spacing w:after="0" w:line="240" w:lineRule="auto"/>
              <w:jc w:val="center"/>
              <w:rPr>
                <w:rFonts w:ascii="Times New Roman" w:eastAsia="Times New Roman" w:hAnsi="Times New Roman" w:cs="Times New Roman"/>
                <w:b/>
                <w:bCs/>
                <w:sz w:val="18"/>
                <w:szCs w:val="18"/>
                <w:lang w:eastAsia="bg-BG"/>
              </w:rPr>
            </w:pPr>
            <w:r w:rsidRPr="005066BD">
              <w:rPr>
                <w:rFonts w:ascii="Times New Roman" w:eastAsia="Times New Roman" w:hAnsi="Times New Roman" w:cs="Times New Roman"/>
                <w:b/>
                <w:bCs/>
                <w:sz w:val="18"/>
                <w:szCs w:val="18"/>
                <w:lang w:eastAsia="bg-BG"/>
              </w:rPr>
              <w:t>хил. лв.</w:t>
            </w:r>
          </w:p>
        </w:tc>
        <w:tc>
          <w:tcPr>
            <w:tcW w:w="1843" w:type="dxa"/>
            <w:tcBorders>
              <w:top w:val="nil"/>
              <w:left w:val="nil"/>
              <w:bottom w:val="single" w:sz="4" w:space="0" w:color="auto"/>
              <w:right w:val="single" w:sz="4" w:space="0" w:color="auto"/>
            </w:tcBorders>
            <w:shd w:val="clear" w:color="auto" w:fill="auto"/>
            <w:noWrap/>
          </w:tcPr>
          <w:p w14:paraId="2D052D95" w14:textId="1BE6EAEA" w:rsidR="0066193B" w:rsidRPr="005066BD" w:rsidRDefault="0066193B" w:rsidP="0066193B">
            <w:pPr>
              <w:spacing w:after="0" w:line="240" w:lineRule="auto"/>
              <w:jc w:val="center"/>
              <w:rPr>
                <w:rFonts w:ascii="Times New Roman" w:eastAsia="Times New Roman" w:hAnsi="Times New Roman" w:cs="Times New Roman"/>
                <w:b/>
                <w:bCs/>
                <w:sz w:val="18"/>
                <w:szCs w:val="18"/>
                <w:lang w:eastAsia="bg-BG"/>
              </w:rPr>
            </w:pPr>
            <w:r>
              <w:rPr>
                <w:rFonts w:ascii="Times New Roman" w:eastAsia="Times New Roman" w:hAnsi="Times New Roman" w:cs="Times New Roman"/>
                <w:sz w:val="20"/>
                <w:szCs w:val="20"/>
                <w:lang w:eastAsia="bg-BG"/>
              </w:rPr>
              <w:t>………………</w:t>
            </w:r>
          </w:p>
        </w:tc>
        <w:tc>
          <w:tcPr>
            <w:tcW w:w="160" w:type="dxa"/>
            <w:vAlign w:val="center"/>
            <w:hideMark/>
          </w:tcPr>
          <w:p w14:paraId="3AB28013" w14:textId="77777777" w:rsidR="0066193B" w:rsidRPr="005066BD" w:rsidRDefault="0066193B" w:rsidP="0066193B">
            <w:pPr>
              <w:spacing w:after="0" w:line="240" w:lineRule="auto"/>
              <w:rPr>
                <w:rFonts w:ascii="Times New Roman" w:eastAsia="Times New Roman" w:hAnsi="Times New Roman" w:cs="Times New Roman"/>
                <w:sz w:val="20"/>
                <w:szCs w:val="20"/>
                <w:lang w:eastAsia="bg-BG"/>
              </w:rPr>
            </w:pPr>
          </w:p>
        </w:tc>
      </w:tr>
      <w:tr w:rsidR="0066193B" w:rsidRPr="005066BD" w14:paraId="757453B6" w14:textId="77777777" w:rsidTr="00CE56F9">
        <w:trPr>
          <w:trHeight w:val="386"/>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235F8FA7" w14:textId="77777777" w:rsidR="0066193B" w:rsidRPr="005066BD" w:rsidRDefault="0066193B" w:rsidP="0066193B">
            <w:pPr>
              <w:spacing w:after="0" w:line="240" w:lineRule="auto"/>
              <w:jc w:val="center"/>
              <w:rPr>
                <w:rFonts w:ascii="Times New Roman" w:eastAsia="Times New Roman" w:hAnsi="Times New Roman" w:cs="Times New Roman"/>
                <w:b/>
                <w:bCs/>
                <w:sz w:val="18"/>
                <w:szCs w:val="18"/>
                <w:lang w:eastAsia="bg-BG"/>
              </w:rPr>
            </w:pPr>
            <w:r w:rsidRPr="005066BD">
              <w:rPr>
                <w:rFonts w:ascii="Times New Roman" w:eastAsia="Times New Roman" w:hAnsi="Times New Roman" w:cs="Times New Roman"/>
                <w:b/>
                <w:bCs/>
                <w:sz w:val="18"/>
                <w:szCs w:val="18"/>
                <w:lang w:eastAsia="bg-BG"/>
              </w:rPr>
              <w:t>4.1</w:t>
            </w:r>
          </w:p>
        </w:tc>
        <w:tc>
          <w:tcPr>
            <w:tcW w:w="5266" w:type="dxa"/>
            <w:tcBorders>
              <w:top w:val="nil"/>
              <w:left w:val="nil"/>
              <w:bottom w:val="single" w:sz="4" w:space="0" w:color="auto"/>
              <w:right w:val="single" w:sz="4" w:space="0" w:color="auto"/>
            </w:tcBorders>
            <w:shd w:val="clear" w:color="auto" w:fill="auto"/>
            <w:vAlign w:val="center"/>
            <w:hideMark/>
          </w:tcPr>
          <w:p w14:paraId="2416CBDE" w14:textId="77777777" w:rsidR="0066193B" w:rsidRPr="005066BD" w:rsidRDefault="0066193B" w:rsidP="0066193B">
            <w:pPr>
              <w:spacing w:after="0" w:line="240" w:lineRule="auto"/>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разходи за вложени машини, рез части и материали</w:t>
            </w:r>
          </w:p>
        </w:tc>
        <w:tc>
          <w:tcPr>
            <w:tcW w:w="1276" w:type="dxa"/>
            <w:tcBorders>
              <w:top w:val="nil"/>
              <w:left w:val="nil"/>
              <w:bottom w:val="single" w:sz="4" w:space="0" w:color="auto"/>
              <w:right w:val="single" w:sz="4" w:space="0" w:color="auto"/>
            </w:tcBorders>
            <w:shd w:val="clear" w:color="auto" w:fill="auto"/>
            <w:noWrap/>
            <w:vAlign w:val="center"/>
            <w:hideMark/>
          </w:tcPr>
          <w:p w14:paraId="1997C118"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хил. лв.</w:t>
            </w:r>
          </w:p>
        </w:tc>
        <w:tc>
          <w:tcPr>
            <w:tcW w:w="1843" w:type="dxa"/>
            <w:tcBorders>
              <w:top w:val="nil"/>
              <w:left w:val="nil"/>
              <w:bottom w:val="single" w:sz="4" w:space="0" w:color="auto"/>
              <w:right w:val="single" w:sz="4" w:space="0" w:color="auto"/>
            </w:tcBorders>
            <w:shd w:val="clear" w:color="auto" w:fill="auto"/>
            <w:noWrap/>
          </w:tcPr>
          <w:p w14:paraId="7B9AF874" w14:textId="04CEDADE"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c>
          <w:tcPr>
            <w:tcW w:w="160" w:type="dxa"/>
            <w:vAlign w:val="center"/>
            <w:hideMark/>
          </w:tcPr>
          <w:p w14:paraId="033A7A59" w14:textId="77777777" w:rsidR="0066193B" w:rsidRPr="005066BD" w:rsidRDefault="0066193B" w:rsidP="0066193B">
            <w:pPr>
              <w:spacing w:after="0" w:line="240" w:lineRule="auto"/>
              <w:rPr>
                <w:rFonts w:ascii="Times New Roman" w:eastAsia="Times New Roman" w:hAnsi="Times New Roman" w:cs="Times New Roman"/>
                <w:sz w:val="20"/>
                <w:szCs w:val="20"/>
                <w:lang w:eastAsia="bg-BG"/>
              </w:rPr>
            </w:pPr>
          </w:p>
        </w:tc>
      </w:tr>
      <w:tr w:rsidR="0066193B" w:rsidRPr="005066BD" w14:paraId="63C1E1B0" w14:textId="77777777" w:rsidTr="00CE56F9">
        <w:trPr>
          <w:trHeight w:val="42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0ABC73D8" w14:textId="77777777" w:rsidR="0066193B" w:rsidRPr="005066BD" w:rsidRDefault="0066193B" w:rsidP="0066193B">
            <w:pPr>
              <w:spacing w:after="0" w:line="240" w:lineRule="auto"/>
              <w:jc w:val="center"/>
              <w:rPr>
                <w:rFonts w:ascii="Times New Roman" w:eastAsia="Times New Roman" w:hAnsi="Times New Roman" w:cs="Times New Roman"/>
                <w:b/>
                <w:bCs/>
                <w:sz w:val="18"/>
                <w:szCs w:val="18"/>
                <w:lang w:eastAsia="bg-BG"/>
              </w:rPr>
            </w:pPr>
            <w:r w:rsidRPr="005066BD">
              <w:rPr>
                <w:rFonts w:ascii="Times New Roman" w:eastAsia="Times New Roman" w:hAnsi="Times New Roman" w:cs="Times New Roman"/>
                <w:b/>
                <w:bCs/>
                <w:sz w:val="18"/>
                <w:szCs w:val="18"/>
                <w:lang w:eastAsia="bg-BG"/>
              </w:rPr>
              <w:t>4.2</w:t>
            </w:r>
          </w:p>
        </w:tc>
        <w:tc>
          <w:tcPr>
            <w:tcW w:w="5266" w:type="dxa"/>
            <w:tcBorders>
              <w:top w:val="nil"/>
              <w:left w:val="nil"/>
              <w:bottom w:val="single" w:sz="4" w:space="0" w:color="auto"/>
              <w:right w:val="single" w:sz="4" w:space="0" w:color="auto"/>
            </w:tcBorders>
            <w:shd w:val="clear" w:color="auto" w:fill="auto"/>
            <w:vAlign w:val="center"/>
            <w:hideMark/>
          </w:tcPr>
          <w:p w14:paraId="7AB4E049" w14:textId="77777777" w:rsidR="0066193B" w:rsidRPr="005066BD" w:rsidRDefault="0066193B" w:rsidP="0066193B">
            <w:pPr>
              <w:spacing w:after="0" w:line="240" w:lineRule="auto"/>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проектно-проучвателни работи и външни услуги</w:t>
            </w:r>
          </w:p>
        </w:tc>
        <w:tc>
          <w:tcPr>
            <w:tcW w:w="1276" w:type="dxa"/>
            <w:tcBorders>
              <w:top w:val="nil"/>
              <w:left w:val="nil"/>
              <w:bottom w:val="single" w:sz="4" w:space="0" w:color="auto"/>
              <w:right w:val="single" w:sz="4" w:space="0" w:color="auto"/>
            </w:tcBorders>
            <w:shd w:val="clear" w:color="auto" w:fill="auto"/>
            <w:noWrap/>
            <w:vAlign w:val="center"/>
            <w:hideMark/>
          </w:tcPr>
          <w:p w14:paraId="080D40EA"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хил. лв.</w:t>
            </w:r>
          </w:p>
        </w:tc>
        <w:tc>
          <w:tcPr>
            <w:tcW w:w="1843" w:type="dxa"/>
            <w:tcBorders>
              <w:top w:val="nil"/>
              <w:left w:val="nil"/>
              <w:bottom w:val="single" w:sz="4" w:space="0" w:color="auto"/>
              <w:right w:val="single" w:sz="4" w:space="0" w:color="auto"/>
            </w:tcBorders>
            <w:shd w:val="clear" w:color="auto" w:fill="auto"/>
            <w:noWrap/>
          </w:tcPr>
          <w:p w14:paraId="6FDF3C32" w14:textId="0EAF318C"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c>
          <w:tcPr>
            <w:tcW w:w="160" w:type="dxa"/>
            <w:vAlign w:val="center"/>
            <w:hideMark/>
          </w:tcPr>
          <w:p w14:paraId="62153C94" w14:textId="77777777" w:rsidR="0066193B" w:rsidRPr="005066BD" w:rsidRDefault="0066193B" w:rsidP="0066193B">
            <w:pPr>
              <w:spacing w:after="0" w:line="240" w:lineRule="auto"/>
              <w:rPr>
                <w:rFonts w:ascii="Times New Roman" w:eastAsia="Times New Roman" w:hAnsi="Times New Roman" w:cs="Times New Roman"/>
                <w:sz w:val="20"/>
                <w:szCs w:val="20"/>
                <w:lang w:eastAsia="bg-BG"/>
              </w:rPr>
            </w:pPr>
          </w:p>
        </w:tc>
      </w:tr>
      <w:tr w:rsidR="0066193B" w:rsidRPr="005066BD" w14:paraId="19265BAB" w14:textId="77777777" w:rsidTr="00CE56F9">
        <w:trPr>
          <w:trHeight w:val="335"/>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1FFC1AAB" w14:textId="77777777" w:rsidR="0066193B" w:rsidRPr="005066BD" w:rsidRDefault="0066193B" w:rsidP="0066193B">
            <w:pPr>
              <w:spacing w:after="0" w:line="240" w:lineRule="auto"/>
              <w:jc w:val="center"/>
              <w:rPr>
                <w:rFonts w:ascii="Times New Roman" w:eastAsia="Times New Roman" w:hAnsi="Times New Roman" w:cs="Times New Roman"/>
                <w:b/>
                <w:bCs/>
                <w:sz w:val="18"/>
                <w:szCs w:val="18"/>
                <w:lang w:eastAsia="bg-BG"/>
              </w:rPr>
            </w:pPr>
            <w:r w:rsidRPr="005066BD">
              <w:rPr>
                <w:rFonts w:ascii="Times New Roman" w:eastAsia="Times New Roman" w:hAnsi="Times New Roman" w:cs="Times New Roman"/>
                <w:b/>
                <w:bCs/>
                <w:sz w:val="18"/>
                <w:szCs w:val="18"/>
                <w:lang w:eastAsia="bg-BG"/>
              </w:rPr>
              <w:t>4.3</w:t>
            </w:r>
          </w:p>
        </w:tc>
        <w:tc>
          <w:tcPr>
            <w:tcW w:w="5266" w:type="dxa"/>
            <w:tcBorders>
              <w:top w:val="nil"/>
              <w:left w:val="nil"/>
              <w:bottom w:val="single" w:sz="4" w:space="0" w:color="auto"/>
              <w:right w:val="single" w:sz="4" w:space="0" w:color="auto"/>
            </w:tcBorders>
            <w:shd w:val="clear" w:color="auto" w:fill="auto"/>
            <w:vAlign w:val="center"/>
            <w:hideMark/>
          </w:tcPr>
          <w:p w14:paraId="2597E405" w14:textId="77777777" w:rsidR="0066193B" w:rsidRPr="005066BD" w:rsidRDefault="0066193B" w:rsidP="0066193B">
            <w:pPr>
              <w:spacing w:after="0" w:line="240" w:lineRule="auto"/>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строително-монтажни и ремонтни работи от външни услуги</w:t>
            </w:r>
          </w:p>
        </w:tc>
        <w:tc>
          <w:tcPr>
            <w:tcW w:w="1276" w:type="dxa"/>
            <w:tcBorders>
              <w:top w:val="nil"/>
              <w:left w:val="nil"/>
              <w:bottom w:val="single" w:sz="4" w:space="0" w:color="auto"/>
              <w:right w:val="single" w:sz="4" w:space="0" w:color="auto"/>
            </w:tcBorders>
            <w:shd w:val="clear" w:color="auto" w:fill="auto"/>
            <w:noWrap/>
            <w:vAlign w:val="center"/>
            <w:hideMark/>
          </w:tcPr>
          <w:p w14:paraId="4F135BBF"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хил. лв.</w:t>
            </w:r>
          </w:p>
        </w:tc>
        <w:tc>
          <w:tcPr>
            <w:tcW w:w="1843" w:type="dxa"/>
            <w:tcBorders>
              <w:top w:val="nil"/>
              <w:left w:val="nil"/>
              <w:bottom w:val="single" w:sz="4" w:space="0" w:color="auto"/>
              <w:right w:val="single" w:sz="4" w:space="0" w:color="auto"/>
            </w:tcBorders>
            <w:shd w:val="clear" w:color="auto" w:fill="auto"/>
            <w:noWrap/>
          </w:tcPr>
          <w:p w14:paraId="68A5D1E9" w14:textId="720C727E"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c>
          <w:tcPr>
            <w:tcW w:w="160" w:type="dxa"/>
            <w:vAlign w:val="center"/>
            <w:hideMark/>
          </w:tcPr>
          <w:p w14:paraId="3C72BF6C" w14:textId="77777777" w:rsidR="0066193B" w:rsidRPr="005066BD" w:rsidRDefault="0066193B" w:rsidP="0066193B">
            <w:pPr>
              <w:spacing w:after="0" w:line="240" w:lineRule="auto"/>
              <w:rPr>
                <w:rFonts w:ascii="Times New Roman" w:eastAsia="Times New Roman" w:hAnsi="Times New Roman" w:cs="Times New Roman"/>
                <w:sz w:val="20"/>
                <w:szCs w:val="20"/>
                <w:lang w:eastAsia="bg-BG"/>
              </w:rPr>
            </w:pPr>
          </w:p>
        </w:tc>
      </w:tr>
      <w:tr w:rsidR="0066193B" w:rsidRPr="005066BD" w14:paraId="0D567C54" w14:textId="77777777" w:rsidTr="00CE56F9">
        <w:trPr>
          <w:trHeight w:val="27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6F9762E5" w14:textId="77777777" w:rsidR="0066193B" w:rsidRPr="005066BD" w:rsidRDefault="0066193B" w:rsidP="0066193B">
            <w:pPr>
              <w:spacing w:after="0" w:line="240" w:lineRule="auto"/>
              <w:jc w:val="center"/>
              <w:rPr>
                <w:rFonts w:ascii="Times New Roman" w:eastAsia="Times New Roman" w:hAnsi="Times New Roman" w:cs="Times New Roman"/>
                <w:b/>
                <w:bCs/>
                <w:sz w:val="18"/>
                <w:szCs w:val="18"/>
                <w:lang w:eastAsia="bg-BG"/>
              </w:rPr>
            </w:pPr>
            <w:r w:rsidRPr="005066BD">
              <w:rPr>
                <w:rFonts w:ascii="Times New Roman" w:eastAsia="Times New Roman" w:hAnsi="Times New Roman" w:cs="Times New Roman"/>
                <w:b/>
                <w:bCs/>
                <w:sz w:val="18"/>
                <w:szCs w:val="18"/>
                <w:lang w:eastAsia="bg-BG"/>
              </w:rPr>
              <w:t>5</w:t>
            </w:r>
          </w:p>
        </w:tc>
        <w:tc>
          <w:tcPr>
            <w:tcW w:w="5266" w:type="dxa"/>
            <w:tcBorders>
              <w:top w:val="nil"/>
              <w:left w:val="nil"/>
              <w:bottom w:val="single" w:sz="4" w:space="0" w:color="auto"/>
              <w:right w:val="single" w:sz="4" w:space="0" w:color="auto"/>
            </w:tcBorders>
            <w:shd w:val="clear" w:color="auto" w:fill="auto"/>
            <w:vAlign w:val="bottom"/>
            <w:hideMark/>
          </w:tcPr>
          <w:p w14:paraId="1DB9D8BD" w14:textId="77777777" w:rsidR="0066193B" w:rsidRPr="005066BD" w:rsidRDefault="0066193B" w:rsidP="0066193B">
            <w:pPr>
              <w:spacing w:after="0" w:line="240" w:lineRule="auto"/>
              <w:rPr>
                <w:rFonts w:ascii="Times New Roman" w:eastAsia="Times New Roman" w:hAnsi="Times New Roman" w:cs="Times New Roman"/>
                <w:b/>
                <w:bCs/>
                <w:sz w:val="18"/>
                <w:szCs w:val="18"/>
                <w:lang w:eastAsia="bg-BG"/>
              </w:rPr>
            </w:pPr>
            <w:r w:rsidRPr="005066BD">
              <w:rPr>
                <w:rFonts w:ascii="Times New Roman" w:eastAsia="Times New Roman" w:hAnsi="Times New Roman" w:cs="Times New Roman"/>
                <w:b/>
                <w:bCs/>
                <w:sz w:val="18"/>
                <w:szCs w:val="18"/>
                <w:lang w:eastAsia="bg-BG"/>
              </w:rPr>
              <w:t>Разходи, пряко свързани с дейноста по лицензията</w:t>
            </w:r>
          </w:p>
        </w:tc>
        <w:tc>
          <w:tcPr>
            <w:tcW w:w="1276" w:type="dxa"/>
            <w:tcBorders>
              <w:top w:val="nil"/>
              <w:left w:val="nil"/>
              <w:bottom w:val="single" w:sz="4" w:space="0" w:color="auto"/>
              <w:right w:val="single" w:sz="4" w:space="0" w:color="auto"/>
            </w:tcBorders>
            <w:shd w:val="clear" w:color="auto" w:fill="auto"/>
            <w:noWrap/>
            <w:vAlign w:val="center"/>
            <w:hideMark/>
          </w:tcPr>
          <w:p w14:paraId="7DBC93B6" w14:textId="77777777" w:rsidR="0066193B" w:rsidRPr="005066BD" w:rsidRDefault="0066193B" w:rsidP="0066193B">
            <w:pPr>
              <w:spacing w:after="0" w:line="240" w:lineRule="auto"/>
              <w:jc w:val="center"/>
              <w:rPr>
                <w:rFonts w:ascii="Times New Roman" w:eastAsia="Times New Roman" w:hAnsi="Times New Roman" w:cs="Times New Roman"/>
                <w:b/>
                <w:bCs/>
                <w:sz w:val="18"/>
                <w:szCs w:val="18"/>
                <w:lang w:eastAsia="bg-BG"/>
              </w:rPr>
            </w:pPr>
            <w:r w:rsidRPr="005066BD">
              <w:rPr>
                <w:rFonts w:ascii="Times New Roman" w:eastAsia="Times New Roman" w:hAnsi="Times New Roman" w:cs="Times New Roman"/>
                <w:b/>
                <w:bCs/>
                <w:sz w:val="18"/>
                <w:szCs w:val="18"/>
                <w:lang w:eastAsia="bg-BG"/>
              </w:rPr>
              <w:t>хил. лв.</w:t>
            </w:r>
          </w:p>
        </w:tc>
        <w:tc>
          <w:tcPr>
            <w:tcW w:w="1843" w:type="dxa"/>
            <w:tcBorders>
              <w:top w:val="nil"/>
              <w:left w:val="nil"/>
              <w:bottom w:val="single" w:sz="4" w:space="0" w:color="auto"/>
              <w:right w:val="single" w:sz="4" w:space="0" w:color="auto"/>
            </w:tcBorders>
            <w:shd w:val="clear" w:color="auto" w:fill="auto"/>
            <w:noWrap/>
          </w:tcPr>
          <w:p w14:paraId="12478E05" w14:textId="6291332C" w:rsidR="0066193B" w:rsidRPr="005066BD" w:rsidRDefault="0066193B" w:rsidP="0066193B">
            <w:pPr>
              <w:spacing w:after="0" w:line="240" w:lineRule="auto"/>
              <w:jc w:val="center"/>
              <w:rPr>
                <w:rFonts w:ascii="Times New Roman" w:eastAsia="Times New Roman" w:hAnsi="Times New Roman" w:cs="Times New Roman"/>
                <w:b/>
                <w:bCs/>
                <w:sz w:val="18"/>
                <w:szCs w:val="18"/>
                <w:lang w:eastAsia="bg-BG"/>
              </w:rPr>
            </w:pPr>
            <w:r>
              <w:rPr>
                <w:rFonts w:ascii="Times New Roman" w:eastAsia="Times New Roman" w:hAnsi="Times New Roman" w:cs="Times New Roman"/>
                <w:sz w:val="20"/>
                <w:szCs w:val="20"/>
                <w:lang w:eastAsia="bg-BG"/>
              </w:rPr>
              <w:t>………………</w:t>
            </w:r>
          </w:p>
        </w:tc>
        <w:tc>
          <w:tcPr>
            <w:tcW w:w="160" w:type="dxa"/>
            <w:vAlign w:val="center"/>
            <w:hideMark/>
          </w:tcPr>
          <w:p w14:paraId="5E20046C" w14:textId="77777777" w:rsidR="0066193B" w:rsidRPr="005066BD" w:rsidRDefault="0066193B" w:rsidP="0066193B">
            <w:pPr>
              <w:spacing w:after="0" w:line="240" w:lineRule="auto"/>
              <w:rPr>
                <w:rFonts w:ascii="Times New Roman" w:eastAsia="Times New Roman" w:hAnsi="Times New Roman" w:cs="Times New Roman"/>
                <w:sz w:val="20"/>
                <w:szCs w:val="20"/>
                <w:lang w:eastAsia="bg-BG"/>
              </w:rPr>
            </w:pPr>
          </w:p>
        </w:tc>
      </w:tr>
      <w:tr w:rsidR="0066193B" w:rsidRPr="005066BD" w14:paraId="4884A2BC" w14:textId="77777777" w:rsidTr="00CE56F9">
        <w:trPr>
          <w:trHeight w:val="255"/>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49EC54DE"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5.1.</w:t>
            </w:r>
          </w:p>
        </w:tc>
        <w:tc>
          <w:tcPr>
            <w:tcW w:w="5266" w:type="dxa"/>
            <w:tcBorders>
              <w:top w:val="nil"/>
              <w:left w:val="nil"/>
              <w:bottom w:val="single" w:sz="4" w:space="0" w:color="auto"/>
              <w:right w:val="single" w:sz="4" w:space="0" w:color="auto"/>
            </w:tcBorders>
            <w:shd w:val="clear" w:color="auto" w:fill="auto"/>
            <w:vAlign w:val="center"/>
            <w:hideMark/>
          </w:tcPr>
          <w:p w14:paraId="0A80A4E4" w14:textId="77777777" w:rsidR="0066193B" w:rsidRPr="005066BD" w:rsidRDefault="0066193B" w:rsidP="0066193B">
            <w:pPr>
              <w:spacing w:after="0" w:line="240" w:lineRule="auto"/>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Горива за автотранспорт</w:t>
            </w:r>
          </w:p>
        </w:tc>
        <w:tc>
          <w:tcPr>
            <w:tcW w:w="1276" w:type="dxa"/>
            <w:tcBorders>
              <w:top w:val="nil"/>
              <w:left w:val="nil"/>
              <w:bottom w:val="single" w:sz="4" w:space="0" w:color="auto"/>
              <w:right w:val="single" w:sz="4" w:space="0" w:color="auto"/>
            </w:tcBorders>
            <w:shd w:val="clear" w:color="auto" w:fill="auto"/>
            <w:noWrap/>
            <w:vAlign w:val="center"/>
            <w:hideMark/>
          </w:tcPr>
          <w:p w14:paraId="044262F3"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хил. лв.</w:t>
            </w:r>
          </w:p>
        </w:tc>
        <w:tc>
          <w:tcPr>
            <w:tcW w:w="1843" w:type="dxa"/>
            <w:tcBorders>
              <w:top w:val="nil"/>
              <w:left w:val="nil"/>
              <w:bottom w:val="single" w:sz="4" w:space="0" w:color="auto"/>
              <w:right w:val="single" w:sz="4" w:space="0" w:color="auto"/>
            </w:tcBorders>
            <w:shd w:val="clear" w:color="auto" w:fill="auto"/>
            <w:noWrap/>
          </w:tcPr>
          <w:p w14:paraId="3C331688" w14:textId="7765124C"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c>
          <w:tcPr>
            <w:tcW w:w="160" w:type="dxa"/>
            <w:vAlign w:val="center"/>
            <w:hideMark/>
          </w:tcPr>
          <w:p w14:paraId="0EF42D90" w14:textId="77777777" w:rsidR="0066193B" w:rsidRPr="005066BD" w:rsidRDefault="0066193B" w:rsidP="0066193B">
            <w:pPr>
              <w:spacing w:after="0" w:line="240" w:lineRule="auto"/>
              <w:rPr>
                <w:rFonts w:ascii="Times New Roman" w:eastAsia="Times New Roman" w:hAnsi="Times New Roman" w:cs="Times New Roman"/>
                <w:sz w:val="20"/>
                <w:szCs w:val="20"/>
                <w:lang w:eastAsia="bg-BG"/>
              </w:rPr>
            </w:pPr>
          </w:p>
        </w:tc>
      </w:tr>
      <w:tr w:rsidR="0066193B" w:rsidRPr="005066BD" w14:paraId="190743FB" w14:textId="77777777" w:rsidTr="00CE56F9">
        <w:trPr>
          <w:trHeight w:val="255"/>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2363F3B2"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5.2.</w:t>
            </w:r>
          </w:p>
        </w:tc>
        <w:tc>
          <w:tcPr>
            <w:tcW w:w="5266" w:type="dxa"/>
            <w:tcBorders>
              <w:top w:val="nil"/>
              <w:left w:val="nil"/>
              <w:bottom w:val="single" w:sz="4" w:space="0" w:color="auto"/>
              <w:right w:val="single" w:sz="4" w:space="0" w:color="auto"/>
            </w:tcBorders>
            <w:shd w:val="clear" w:color="auto" w:fill="auto"/>
            <w:vAlign w:val="center"/>
            <w:hideMark/>
          </w:tcPr>
          <w:p w14:paraId="4C88AEA2" w14:textId="77777777" w:rsidR="0066193B" w:rsidRPr="005066BD" w:rsidRDefault="0066193B" w:rsidP="0066193B">
            <w:pPr>
              <w:spacing w:after="0" w:line="240" w:lineRule="auto"/>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Работно облекло</w:t>
            </w:r>
          </w:p>
        </w:tc>
        <w:tc>
          <w:tcPr>
            <w:tcW w:w="1276" w:type="dxa"/>
            <w:tcBorders>
              <w:top w:val="nil"/>
              <w:left w:val="nil"/>
              <w:bottom w:val="single" w:sz="4" w:space="0" w:color="auto"/>
              <w:right w:val="single" w:sz="4" w:space="0" w:color="auto"/>
            </w:tcBorders>
            <w:shd w:val="clear" w:color="auto" w:fill="auto"/>
            <w:noWrap/>
            <w:vAlign w:val="center"/>
            <w:hideMark/>
          </w:tcPr>
          <w:p w14:paraId="32A054D2"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хил. лв.</w:t>
            </w:r>
          </w:p>
        </w:tc>
        <w:tc>
          <w:tcPr>
            <w:tcW w:w="1843" w:type="dxa"/>
            <w:tcBorders>
              <w:top w:val="nil"/>
              <w:left w:val="nil"/>
              <w:bottom w:val="single" w:sz="4" w:space="0" w:color="auto"/>
              <w:right w:val="single" w:sz="4" w:space="0" w:color="auto"/>
            </w:tcBorders>
            <w:shd w:val="clear" w:color="auto" w:fill="auto"/>
            <w:noWrap/>
          </w:tcPr>
          <w:p w14:paraId="53E7F394" w14:textId="7B7BDC5A"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c>
          <w:tcPr>
            <w:tcW w:w="160" w:type="dxa"/>
            <w:vAlign w:val="center"/>
            <w:hideMark/>
          </w:tcPr>
          <w:p w14:paraId="04785FFE" w14:textId="77777777" w:rsidR="0066193B" w:rsidRPr="005066BD" w:rsidRDefault="0066193B" w:rsidP="0066193B">
            <w:pPr>
              <w:spacing w:after="0" w:line="240" w:lineRule="auto"/>
              <w:rPr>
                <w:rFonts w:ascii="Times New Roman" w:eastAsia="Times New Roman" w:hAnsi="Times New Roman" w:cs="Times New Roman"/>
                <w:sz w:val="20"/>
                <w:szCs w:val="20"/>
                <w:lang w:eastAsia="bg-BG"/>
              </w:rPr>
            </w:pPr>
          </w:p>
        </w:tc>
      </w:tr>
      <w:tr w:rsidR="0066193B" w:rsidRPr="005066BD" w14:paraId="70668D33" w14:textId="77777777" w:rsidTr="00CE56F9">
        <w:trPr>
          <w:trHeight w:val="255"/>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46C7AA35"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5.3.</w:t>
            </w:r>
          </w:p>
        </w:tc>
        <w:tc>
          <w:tcPr>
            <w:tcW w:w="5266" w:type="dxa"/>
            <w:tcBorders>
              <w:top w:val="nil"/>
              <w:left w:val="nil"/>
              <w:bottom w:val="single" w:sz="4" w:space="0" w:color="auto"/>
              <w:right w:val="single" w:sz="4" w:space="0" w:color="auto"/>
            </w:tcBorders>
            <w:shd w:val="clear" w:color="auto" w:fill="auto"/>
            <w:vAlign w:val="center"/>
            <w:hideMark/>
          </w:tcPr>
          <w:p w14:paraId="74D98BAB" w14:textId="77777777" w:rsidR="0066193B" w:rsidRPr="005066BD" w:rsidRDefault="0066193B" w:rsidP="0066193B">
            <w:pPr>
              <w:spacing w:after="0" w:line="240" w:lineRule="auto"/>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Канцеларски материали</w:t>
            </w:r>
          </w:p>
        </w:tc>
        <w:tc>
          <w:tcPr>
            <w:tcW w:w="1276" w:type="dxa"/>
            <w:tcBorders>
              <w:top w:val="nil"/>
              <w:left w:val="nil"/>
              <w:bottom w:val="single" w:sz="4" w:space="0" w:color="auto"/>
              <w:right w:val="single" w:sz="4" w:space="0" w:color="auto"/>
            </w:tcBorders>
            <w:shd w:val="clear" w:color="auto" w:fill="auto"/>
            <w:noWrap/>
            <w:vAlign w:val="center"/>
            <w:hideMark/>
          </w:tcPr>
          <w:p w14:paraId="58D005D9"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хил. лв.</w:t>
            </w:r>
          </w:p>
        </w:tc>
        <w:tc>
          <w:tcPr>
            <w:tcW w:w="1843" w:type="dxa"/>
            <w:tcBorders>
              <w:top w:val="nil"/>
              <w:left w:val="nil"/>
              <w:bottom w:val="single" w:sz="4" w:space="0" w:color="auto"/>
              <w:right w:val="single" w:sz="4" w:space="0" w:color="auto"/>
            </w:tcBorders>
            <w:shd w:val="clear" w:color="auto" w:fill="auto"/>
            <w:noWrap/>
          </w:tcPr>
          <w:p w14:paraId="40C8A916" w14:textId="59C15484"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c>
          <w:tcPr>
            <w:tcW w:w="160" w:type="dxa"/>
            <w:vAlign w:val="center"/>
            <w:hideMark/>
          </w:tcPr>
          <w:p w14:paraId="6D0B952B" w14:textId="77777777" w:rsidR="0066193B" w:rsidRPr="005066BD" w:rsidRDefault="0066193B" w:rsidP="0066193B">
            <w:pPr>
              <w:spacing w:after="0" w:line="240" w:lineRule="auto"/>
              <w:rPr>
                <w:rFonts w:ascii="Times New Roman" w:eastAsia="Times New Roman" w:hAnsi="Times New Roman" w:cs="Times New Roman"/>
                <w:sz w:val="20"/>
                <w:szCs w:val="20"/>
                <w:lang w:eastAsia="bg-BG"/>
              </w:rPr>
            </w:pPr>
          </w:p>
        </w:tc>
      </w:tr>
      <w:tr w:rsidR="0066193B" w:rsidRPr="005066BD" w14:paraId="38F7EF77" w14:textId="77777777" w:rsidTr="00CE56F9">
        <w:trPr>
          <w:trHeight w:val="255"/>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2943E406"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5.4.</w:t>
            </w:r>
          </w:p>
        </w:tc>
        <w:tc>
          <w:tcPr>
            <w:tcW w:w="5266" w:type="dxa"/>
            <w:tcBorders>
              <w:top w:val="nil"/>
              <w:left w:val="nil"/>
              <w:bottom w:val="single" w:sz="4" w:space="0" w:color="auto"/>
              <w:right w:val="single" w:sz="4" w:space="0" w:color="auto"/>
            </w:tcBorders>
            <w:shd w:val="clear" w:color="auto" w:fill="auto"/>
            <w:vAlign w:val="center"/>
            <w:hideMark/>
          </w:tcPr>
          <w:p w14:paraId="2C8F95D2" w14:textId="77777777" w:rsidR="0066193B" w:rsidRPr="005066BD" w:rsidRDefault="0066193B" w:rsidP="0066193B">
            <w:pPr>
              <w:spacing w:after="0" w:line="240" w:lineRule="auto"/>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Материали за текущо поддържане</w:t>
            </w:r>
          </w:p>
        </w:tc>
        <w:tc>
          <w:tcPr>
            <w:tcW w:w="1276" w:type="dxa"/>
            <w:tcBorders>
              <w:top w:val="nil"/>
              <w:left w:val="nil"/>
              <w:bottom w:val="single" w:sz="4" w:space="0" w:color="auto"/>
              <w:right w:val="single" w:sz="4" w:space="0" w:color="auto"/>
            </w:tcBorders>
            <w:shd w:val="clear" w:color="auto" w:fill="auto"/>
            <w:noWrap/>
            <w:vAlign w:val="center"/>
            <w:hideMark/>
          </w:tcPr>
          <w:p w14:paraId="1B735263"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хил. лв.</w:t>
            </w:r>
          </w:p>
        </w:tc>
        <w:tc>
          <w:tcPr>
            <w:tcW w:w="1843" w:type="dxa"/>
            <w:tcBorders>
              <w:top w:val="nil"/>
              <w:left w:val="nil"/>
              <w:bottom w:val="single" w:sz="4" w:space="0" w:color="auto"/>
              <w:right w:val="single" w:sz="4" w:space="0" w:color="auto"/>
            </w:tcBorders>
            <w:shd w:val="clear" w:color="auto" w:fill="auto"/>
            <w:noWrap/>
          </w:tcPr>
          <w:p w14:paraId="6BE58C90" w14:textId="68D4347A"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c>
          <w:tcPr>
            <w:tcW w:w="160" w:type="dxa"/>
            <w:vAlign w:val="center"/>
            <w:hideMark/>
          </w:tcPr>
          <w:p w14:paraId="604E5AA2" w14:textId="77777777" w:rsidR="0066193B" w:rsidRPr="005066BD" w:rsidRDefault="0066193B" w:rsidP="0066193B">
            <w:pPr>
              <w:spacing w:after="0" w:line="240" w:lineRule="auto"/>
              <w:rPr>
                <w:rFonts w:ascii="Times New Roman" w:eastAsia="Times New Roman" w:hAnsi="Times New Roman" w:cs="Times New Roman"/>
                <w:sz w:val="20"/>
                <w:szCs w:val="20"/>
                <w:lang w:eastAsia="bg-BG"/>
              </w:rPr>
            </w:pPr>
          </w:p>
        </w:tc>
      </w:tr>
      <w:tr w:rsidR="0066193B" w:rsidRPr="005066BD" w14:paraId="3792E14A" w14:textId="77777777" w:rsidTr="00CE56F9">
        <w:trPr>
          <w:trHeight w:val="255"/>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1AAA7050"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5.5.</w:t>
            </w:r>
          </w:p>
        </w:tc>
        <w:tc>
          <w:tcPr>
            <w:tcW w:w="5266" w:type="dxa"/>
            <w:tcBorders>
              <w:top w:val="nil"/>
              <w:left w:val="nil"/>
              <w:bottom w:val="single" w:sz="4" w:space="0" w:color="auto"/>
              <w:right w:val="single" w:sz="4" w:space="0" w:color="auto"/>
            </w:tcBorders>
            <w:shd w:val="clear" w:color="auto" w:fill="auto"/>
            <w:vAlign w:val="center"/>
            <w:hideMark/>
          </w:tcPr>
          <w:p w14:paraId="17A37CDD" w14:textId="77777777" w:rsidR="0066193B" w:rsidRPr="005066BD" w:rsidRDefault="0066193B" w:rsidP="0066193B">
            <w:pPr>
              <w:spacing w:after="0" w:line="240" w:lineRule="auto"/>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Застраховки</w:t>
            </w:r>
          </w:p>
        </w:tc>
        <w:tc>
          <w:tcPr>
            <w:tcW w:w="1276" w:type="dxa"/>
            <w:tcBorders>
              <w:top w:val="nil"/>
              <w:left w:val="nil"/>
              <w:bottom w:val="single" w:sz="4" w:space="0" w:color="auto"/>
              <w:right w:val="single" w:sz="4" w:space="0" w:color="auto"/>
            </w:tcBorders>
            <w:shd w:val="clear" w:color="auto" w:fill="auto"/>
            <w:noWrap/>
            <w:vAlign w:val="center"/>
            <w:hideMark/>
          </w:tcPr>
          <w:p w14:paraId="75F9EEEB"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хил. лв.</w:t>
            </w:r>
          </w:p>
        </w:tc>
        <w:tc>
          <w:tcPr>
            <w:tcW w:w="1843" w:type="dxa"/>
            <w:tcBorders>
              <w:top w:val="nil"/>
              <w:left w:val="nil"/>
              <w:bottom w:val="single" w:sz="4" w:space="0" w:color="auto"/>
              <w:right w:val="single" w:sz="4" w:space="0" w:color="auto"/>
            </w:tcBorders>
            <w:shd w:val="clear" w:color="auto" w:fill="auto"/>
            <w:noWrap/>
          </w:tcPr>
          <w:p w14:paraId="58365B04" w14:textId="2FEE1512"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c>
          <w:tcPr>
            <w:tcW w:w="160" w:type="dxa"/>
            <w:vAlign w:val="center"/>
            <w:hideMark/>
          </w:tcPr>
          <w:p w14:paraId="384E86B7" w14:textId="77777777" w:rsidR="0066193B" w:rsidRPr="005066BD" w:rsidRDefault="0066193B" w:rsidP="0066193B">
            <w:pPr>
              <w:spacing w:after="0" w:line="240" w:lineRule="auto"/>
              <w:rPr>
                <w:rFonts w:ascii="Times New Roman" w:eastAsia="Times New Roman" w:hAnsi="Times New Roman" w:cs="Times New Roman"/>
                <w:sz w:val="20"/>
                <w:szCs w:val="20"/>
                <w:lang w:eastAsia="bg-BG"/>
              </w:rPr>
            </w:pPr>
          </w:p>
        </w:tc>
      </w:tr>
      <w:tr w:rsidR="0066193B" w:rsidRPr="005066BD" w14:paraId="1A7453D0" w14:textId="77777777" w:rsidTr="00CE56F9">
        <w:trPr>
          <w:trHeight w:val="255"/>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18D9A050"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5.6.</w:t>
            </w:r>
          </w:p>
        </w:tc>
        <w:tc>
          <w:tcPr>
            <w:tcW w:w="5266" w:type="dxa"/>
            <w:tcBorders>
              <w:top w:val="nil"/>
              <w:left w:val="nil"/>
              <w:bottom w:val="single" w:sz="4" w:space="0" w:color="auto"/>
              <w:right w:val="single" w:sz="4" w:space="0" w:color="auto"/>
            </w:tcBorders>
            <w:shd w:val="clear" w:color="auto" w:fill="auto"/>
            <w:vAlign w:val="center"/>
            <w:hideMark/>
          </w:tcPr>
          <w:p w14:paraId="6FE7DB07" w14:textId="77777777" w:rsidR="0066193B" w:rsidRPr="005066BD" w:rsidRDefault="0066193B" w:rsidP="0066193B">
            <w:pPr>
              <w:spacing w:after="0" w:line="240" w:lineRule="auto"/>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Местни данъци и такси, акциз</w:t>
            </w:r>
          </w:p>
        </w:tc>
        <w:tc>
          <w:tcPr>
            <w:tcW w:w="1276" w:type="dxa"/>
            <w:tcBorders>
              <w:top w:val="nil"/>
              <w:left w:val="nil"/>
              <w:bottom w:val="single" w:sz="4" w:space="0" w:color="auto"/>
              <w:right w:val="single" w:sz="4" w:space="0" w:color="auto"/>
            </w:tcBorders>
            <w:shd w:val="clear" w:color="auto" w:fill="auto"/>
            <w:noWrap/>
            <w:vAlign w:val="center"/>
            <w:hideMark/>
          </w:tcPr>
          <w:p w14:paraId="2CCA7DB3"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хил. лв.</w:t>
            </w:r>
          </w:p>
        </w:tc>
        <w:tc>
          <w:tcPr>
            <w:tcW w:w="1843" w:type="dxa"/>
            <w:tcBorders>
              <w:top w:val="nil"/>
              <w:left w:val="nil"/>
              <w:bottom w:val="single" w:sz="4" w:space="0" w:color="auto"/>
              <w:right w:val="single" w:sz="4" w:space="0" w:color="auto"/>
            </w:tcBorders>
            <w:shd w:val="clear" w:color="auto" w:fill="auto"/>
            <w:noWrap/>
          </w:tcPr>
          <w:p w14:paraId="481FBA6D" w14:textId="5BAB2AD4"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c>
          <w:tcPr>
            <w:tcW w:w="160" w:type="dxa"/>
            <w:vAlign w:val="center"/>
            <w:hideMark/>
          </w:tcPr>
          <w:p w14:paraId="043FB0F5" w14:textId="77777777" w:rsidR="0066193B" w:rsidRPr="005066BD" w:rsidRDefault="0066193B" w:rsidP="0066193B">
            <w:pPr>
              <w:spacing w:after="0" w:line="240" w:lineRule="auto"/>
              <w:rPr>
                <w:rFonts w:ascii="Times New Roman" w:eastAsia="Times New Roman" w:hAnsi="Times New Roman" w:cs="Times New Roman"/>
                <w:sz w:val="20"/>
                <w:szCs w:val="20"/>
                <w:lang w:eastAsia="bg-BG"/>
              </w:rPr>
            </w:pPr>
          </w:p>
        </w:tc>
      </w:tr>
      <w:tr w:rsidR="0066193B" w:rsidRPr="005066BD" w14:paraId="2201441F" w14:textId="77777777" w:rsidTr="00CE56F9">
        <w:trPr>
          <w:trHeight w:val="255"/>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7BC01DDD"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5.7.</w:t>
            </w:r>
          </w:p>
        </w:tc>
        <w:tc>
          <w:tcPr>
            <w:tcW w:w="5266" w:type="dxa"/>
            <w:tcBorders>
              <w:top w:val="nil"/>
              <w:left w:val="nil"/>
              <w:bottom w:val="single" w:sz="4" w:space="0" w:color="auto"/>
              <w:right w:val="single" w:sz="4" w:space="0" w:color="auto"/>
            </w:tcBorders>
            <w:shd w:val="clear" w:color="auto" w:fill="auto"/>
            <w:vAlign w:val="center"/>
            <w:hideMark/>
          </w:tcPr>
          <w:p w14:paraId="1446962F" w14:textId="77777777" w:rsidR="0066193B" w:rsidRPr="005066BD" w:rsidRDefault="0066193B" w:rsidP="0066193B">
            <w:pPr>
              <w:spacing w:after="0" w:line="240" w:lineRule="auto"/>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Пощенски разходи, телефони и абонаменти</w:t>
            </w:r>
          </w:p>
        </w:tc>
        <w:tc>
          <w:tcPr>
            <w:tcW w:w="1276" w:type="dxa"/>
            <w:tcBorders>
              <w:top w:val="nil"/>
              <w:left w:val="nil"/>
              <w:bottom w:val="single" w:sz="4" w:space="0" w:color="auto"/>
              <w:right w:val="single" w:sz="4" w:space="0" w:color="auto"/>
            </w:tcBorders>
            <w:shd w:val="clear" w:color="auto" w:fill="auto"/>
            <w:noWrap/>
            <w:vAlign w:val="center"/>
            <w:hideMark/>
          </w:tcPr>
          <w:p w14:paraId="72FC35F4"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хил. лв.</w:t>
            </w:r>
          </w:p>
        </w:tc>
        <w:tc>
          <w:tcPr>
            <w:tcW w:w="1843" w:type="dxa"/>
            <w:tcBorders>
              <w:top w:val="nil"/>
              <w:left w:val="nil"/>
              <w:bottom w:val="single" w:sz="4" w:space="0" w:color="auto"/>
              <w:right w:val="single" w:sz="4" w:space="0" w:color="auto"/>
            </w:tcBorders>
            <w:shd w:val="clear" w:color="auto" w:fill="auto"/>
            <w:noWrap/>
          </w:tcPr>
          <w:p w14:paraId="5C92CA5A" w14:textId="5096F84E"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c>
          <w:tcPr>
            <w:tcW w:w="160" w:type="dxa"/>
            <w:vAlign w:val="center"/>
            <w:hideMark/>
          </w:tcPr>
          <w:p w14:paraId="0669C041" w14:textId="77777777" w:rsidR="0066193B" w:rsidRPr="005066BD" w:rsidRDefault="0066193B" w:rsidP="0066193B">
            <w:pPr>
              <w:spacing w:after="0" w:line="240" w:lineRule="auto"/>
              <w:rPr>
                <w:rFonts w:ascii="Times New Roman" w:eastAsia="Times New Roman" w:hAnsi="Times New Roman" w:cs="Times New Roman"/>
                <w:sz w:val="20"/>
                <w:szCs w:val="20"/>
                <w:lang w:eastAsia="bg-BG"/>
              </w:rPr>
            </w:pPr>
          </w:p>
        </w:tc>
      </w:tr>
      <w:tr w:rsidR="0066193B" w:rsidRPr="005066BD" w14:paraId="363CDFC3" w14:textId="77777777" w:rsidTr="00CE56F9">
        <w:trPr>
          <w:trHeight w:val="255"/>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259F302E"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5.8.</w:t>
            </w:r>
          </w:p>
        </w:tc>
        <w:tc>
          <w:tcPr>
            <w:tcW w:w="5266" w:type="dxa"/>
            <w:tcBorders>
              <w:top w:val="nil"/>
              <w:left w:val="nil"/>
              <w:bottom w:val="single" w:sz="4" w:space="0" w:color="auto"/>
              <w:right w:val="single" w:sz="4" w:space="0" w:color="auto"/>
            </w:tcBorders>
            <w:shd w:val="clear" w:color="auto" w:fill="auto"/>
            <w:vAlign w:val="center"/>
            <w:hideMark/>
          </w:tcPr>
          <w:p w14:paraId="67082329" w14:textId="77777777" w:rsidR="0066193B" w:rsidRPr="005066BD" w:rsidRDefault="0066193B" w:rsidP="0066193B">
            <w:pPr>
              <w:spacing w:after="0" w:line="240" w:lineRule="auto"/>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Абонаментно поддържане</w:t>
            </w:r>
          </w:p>
        </w:tc>
        <w:tc>
          <w:tcPr>
            <w:tcW w:w="1276" w:type="dxa"/>
            <w:tcBorders>
              <w:top w:val="nil"/>
              <w:left w:val="nil"/>
              <w:bottom w:val="single" w:sz="4" w:space="0" w:color="auto"/>
              <w:right w:val="single" w:sz="4" w:space="0" w:color="auto"/>
            </w:tcBorders>
            <w:shd w:val="clear" w:color="auto" w:fill="auto"/>
            <w:noWrap/>
            <w:vAlign w:val="center"/>
            <w:hideMark/>
          </w:tcPr>
          <w:p w14:paraId="3E39BC8D"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хил. лв.</w:t>
            </w:r>
          </w:p>
        </w:tc>
        <w:tc>
          <w:tcPr>
            <w:tcW w:w="1843" w:type="dxa"/>
            <w:tcBorders>
              <w:top w:val="nil"/>
              <w:left w:val="nil"/>
              <w:bottom w:val="single" w:sz="4" w:space="0" w:color="auto"/>
              <w:right w:val="single" w:sz="4" w:space="0" w:color="auto"/>
            </w:tcBorders>
            <w:shd w:val="clear" w:color="auto" w:fill="auto"/>
            <w:noWrap/>
          </w:tcPr>
          <w:p w14:paraId="429BAD89" w14:textId="4AC0BAC0"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c>
          <w:tcPr>
            <w:tcW w:w="160" w:type="dxa"/>
            <w:vAlign w:val="center"/>
            <w:hideMark/>
          </w:tcPr>
          <w:p w14:paraId="695D2AB9" w14:textId="77777777" w:rsidR="0066193B" w:rsidRPr="005066BD" w:rsidRDefault="0066193B" w:rsidP="0066193B">
            <w:pPr>
              <w:spacing w:after="0" w:line="240" w:lineRule="auto"/>
              <w:rPr>
                <w:rFonts w:ascii="Times New Roman" w:eastAsia="Times New Roman" w:hAnsi="Times New Roman" w:cs="Times New Roman"/>
                <w:sz w:val="20"/>
                <w:szCs w:val="20"/>
                <w:lang w:eastAsia="bg-BG"/>
              </w:rPr>
            </w:pPr>
          </w:p>
        </w:tc>
      </w:tr>
      <w:tr w:rsidR="0066193B" w:rsidRPr="005066BD" w14:paraId="4EFAC72D" w14:textId="77777777" w:rsidTr="00CE56F9">
        <w:trPr>
          <w:trHeight w:val="255"/>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58610C89"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5.9.</w:t>
            </w:r>
          </w:p>
        </w:tc>
        <w:tc>
          <w:tcPr>
            <w:tcW w:w="5266" w:type="dxa"/>
            <w:tcBorders>
              <w:top w:val="nil"/>
              <w:left w:val="nil"/>
              <w:bottom w:val="single" w:sz="4" w:space="0" w:color="auto"/>
              <w:right w:val="single" w:sz="4" w:space="0" w:color="auto"/>
            </w:tcBorders>
            <w:shd w:val="clear" w:color="auto" w:fill="auto"/>
            <w:vAlign w:val="center"/>
            <w:hideMark/>
          </w:tcPr>
          <w:p w14:paraId="1E2AD5AA" w14:textId="77777777" w:rsidR="0066193B" w:rsidRPr="005066BD" w:rsidRDefault="0066193B" w:rsidP="0066193B">
            <w:pPr>
              <w:spacing w:after="0" w:line="240" w:lineRule="auto"/>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Въоръжена и противопожарна охрана</w:t>
            </w:r>
          </w:p>
        </w:tc>
        <w:tc>
          <w:tcPr>
            <w:tcW w:w="1276" w:type="dxa"/>
            <w:tcBorders>
              <w:top w:val="nil"/>
              <w:left w:val="nil"/>
              <w:bottom w:val="single" w:sz="4" w:space="0" w:color="auto"/>
              <w:right w:val="single" w:sz="4" w:space="0" w:color="auto"/>
            </w:tcBorders>
            <w:shd w:val="clear" w:color="auto" w:fill="auto"/>
            <w:noWrap/>
            <w:vAlign w:val="center"/>
            <w:hideMark/>
          </w:tcPr>
          <w:p w14:paraId="6C5391D4"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хил. лв.</w:t>
            </w:r>
          </w:p>
        </w:tc>
        <w:tc>
          <w:tcPr>
            <w:tcW w:w="1843" w:type="dxa"/>
            <w:tcBorders>
              <w:top w:val="nil"/>
              <w:left w:val="nil"/>
              <w:bottom w:val="single" w:sz="4" w:space="0" w:color="auto"/>
              <w:right w:val="single" w:sz="4" w:space="0" w:color="auto"/>
            </w:tcBorders>
            <w:shd w:val="clear" w:color="auto" w:fill="auto"/>
            <w:noWrap/>
          </w:tcPr>
          <w:p w14:paraId="0B6960E3" w14:textId="5EC93F99"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c>
          <w:tcPr>
            <w:tcW w:w="160" w:type="dxa"/>
            <w:vAlign w:val="center"/>
            <w:hideMark/>
          </w:tcPr>
          <w:p w14:paraId="64B6AC3F" w14:textId="77777777" w:rsidR="0066193B" w:rsidRPr="005066BD" w:rsidRDefault="0066193B" w:rsidP="0066193B">
            <w:pPr>
              <w:spacing w:after="0" w:line="240" w:lineRule="auto"/>
              <w:rPr>
                <w:rFonts w:ascii="Times New Roman" w:eastAsia="Times New Roman" w:hAnsi="Times New Roman" w:cs="Times New Roman"/>
                <w:sz w:val="20"/>
                <w:szCs w:val="20"/>
                <w:lang w:eastAsia="bg-BG"/>
              </w:rPr>
            </w:pPr>
          </w:p>
        </w:tc>
      </w:tr>
      <w:tr w:rsidR="0066193B" w:rsidRPr="005066BD" w14:paraId="27CC8E9C" w14:textId="77777777" w:rsidTr="00CE56F9">
        <w:trPr>
          <w:trHeight w:val="255"/>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05B7DE78"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5.10.</w:t>
            </w:r>
          </w:p>
        </w:tc>
        <w:tc>
          <w:tcPr>
            <w:tcW w:w="5266" w:type="dxa"/>
            <w:tcBorders>
              <w:top w:val="nil"/>
              <w:left w:val="nil"/>
              <w:bottom w:val="single" w:sz="4" w:space="0" w:color="auto"/>
              <w:right w:val="single" w:sz="4" w:space="0" w:color="auto"/>
            </w:tcBorders>
            <w:shd w:val="clear" w:color="auto" w:fill="auto"/>
            <w:vAlign w:val="center"/>
            <w:hideMark/>
          </w:tcPr>
          <w:p w14:paraId="79DE6241" w14:textId="77777777" w:rsidR="0066193B" w:rsidRPr="005066BD" w:rsidRDefault="0066193B" w:rsidP="0066193B">
            <w:pPr>
              <w:spacing w:after="0" w:line="240" w:lineRule="auto"/>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Наеми</w:t>
            </w:r>
          </w:p>
        </w:tc>
        <w:tc>
          <w:tcPr>
            <w:tcW w:w="1276" w:type="dxa"/>
            <w:tcBorders>
              <w:top w:val="nil"/>
              <w:left w:val="nil"/>
              <w:bottom w:val="single" w:sz="4" w:space="0" w:color="auto"/>
              <w:right w:val="single" w:sz="4" w:space="0" w:color="auto"/>
            </w:tcBorders>
            <w:shd w:val="clear" w:color="auto" w:fill="auto"/>
            <w:noWrap/>
            <w:vAlign w:val="center"/>
            <w:hideMark/>
          </w:tcPr>
          <w:p w14:paraId="636C4E73"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хил. лв.</w:t>
            </w:r>
          </w:p>
        </w:tc>
        <w:tc>
          <w:tcPr>
            <w:tcW w:w="1843" w:type="dxa"/>
            <w:tcBorders>
              <w:top w:val="nil"/>
              <w:left w:val="nil"/>
              <w:bottom w:val="single" w:sz="4" w:space="0" w:color="auto"/>
              <w:right w:val="single" w:sz="4" w:space="0" w:color="auto"/>
            </w:tcBorders>
            <w:shd w:val="clear" w:color="auto" w:fill="auto"/>
            <w:noWrap/>
          </w:tcPr>
          <w:p w14:paraId="244DD862" w14:textId="6999C75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c>
          <w:tcPr>
            <w:tcW w:w="160" w:type="dxa"/>
            <w:vAlign w:val="center"/>
            <w:hideMark/>
          </w:tcPr>
          <w:p w14:paraId="5972E51E" w14:textId="77777777" w:rsidR="0066193B" w:rsidRPr="005066BD" w:rsidRDefault="0066193B" w:rsidP="0066193B">
            <w:pPr>
              <w:spacing w:after="0" w:line="240" w:lineRule="auto"/>
              <w:rPr>
                <w:rFonts w:ascii="Times New Roman" w:eastAsia="Times New Roman" w:hAnsi="Times New Roman" w:cs="Times New Roman"/>
                <w:sz w:val="20"/>
                <w:szCs w:val="20"/>
                <w:lang w:eastAsia="bg-BG"/>
              </w:rPr>
            </w:pPr>
          </w:p>
        </w:tc>
      </w:tr>
      <w:tr w:rsidR="0066193B" w:rsidRPr="005066BD" w14:paraId="7BF563A5" w14:textId="77777777" w:rsidTr="00AA0A1A">
        <w:trPr>
          <w:trHeight w:val="255"/>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6D87C0EC"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5.11.</w:t>
            </w:r>
          </w:p>
        </w:tc>
        <w:tc>
          <w:tcPr>
            <w:tcW w:w="5266" w:type="dxa"/>
            <w:tcBorders>
              <w:top w:val="nil"/>
              <w:left w:val="nil"/>
              <w:bottom w:val="single" w:sz="4" w:space="0" w:color="auto"/>
              <w:right w:val="single" w:sz="4" w:space="0" w:color="auto"/>
            </w:tcBorders>
            <w:shd w:val="clear" w:color="auto" w:fill="auto"/>
            <w:vAlign w:val="center"/>
            <w:hideMark/>
          </w:tcPr>
          <w:p w14:paraId="0C011E2A" w14:textId="77777777" w:rsidR="0066193B" w:rsidRPr="005066BD" w:rsidRDefault="0066193B" w:rsidP="0066193B">
            <w:pPr>
              <w:spacing w:after="0" w:line="240" w:lineRule="auto"/>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Проверка на уреди/услуги тек. поддържане/</w:t>
            </w:r>
          </w:p>
        </w:tc>
        <w:tc>
          <w:tcPr>
            <w:tcW w:w="1276" w:type="dxa"/>
            <w:tcBorders>
              <w:top w:val="nil"/>
              <w:left w:val="nil"/>
              <w:bottom w:val="single" w:sz="4" w:space="0" w:color="auto"/>
              <w:right w:val="single" w:sz="4" w:space="0" w:color="auto"/>
            </w:tcBorders>
            <w:shd w:val="clear" w:color="auto" w:fill="auto"/>
            <w:noWrap/>
            <w:vAlign w:val="center"/>
            <w:hideMark/>
          </w:tcPr>
          <w:p w14:paraId="21EEF1A0"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хил. лв.</w:t>
            </w:r>
          </w:p>
        </w:tc>
        <w:tc>
          <w:tcPr>
            <w:tcW w:w="1843" w:type="dxa"/>
            <w:tcBorders>
              <w:top w:val="nil"/>
              <w:left w:val="nil"/>
              <w:bottom w:val="single" w:sz="4" w:space="0" w:color="auto"/>
              <w:right w:val="single" w:sz="4" w:space="0" w:color="auto"/>
            </w:tcBorders>
            <w:shd w:val="clear" w:color="auto" w:fill="auto"/>
            <w:noWrap/>
          </w:tcPr>
          <w:p w14:paraId="44D815AD" w14:textId="35C1BCBF"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c>
          <w:tcPr>
            <w:tcW w:w="160" w:type="dxa"/>
            <w:vAlign w:val="center"/>
            <w:hideMark/>
          </w:tcPr>
          <w:p w14:paraId="30C47626" w14:textId="77777777" w:rsidR="0066193B" w:rsidRPr="005066BD" w:rsidRDefault="0066193B" w:rsidP="0066193B">
            <w:pPr>
              <w:spacing w:after="0" w:line="240" w:lineRule="auto"/>
              <w:rPr>
                <w:rFonts w:ascii="Times New Roman" w:eastAsia="Times New Roman" w:hAnsi="Times New Roman" w:cs="Times New Roman"/>
                <w:sz w:val="20"/>
                <w:szCs w:val="20"/>
                <w:lang w:eastAsia="bg-BG"/>
              </w:rPr>
            </w:pPr>
          </w:p>
        </w:tc>
      </w:tr>
      <w:tr w:rsidR="0066193B" w:rsidRPr="005066BD" w14:paraId="22AADF63" w14:textId="77777777" w:rsidTr="00AA0A1A">
        <w:trPr>
          <w:trHeight w:val="255"/>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0FFCBAF6"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5.12.</w:t>
            </w:r>
          </w:p>
        </w:tc>
        <w:tc>
          <w:tcPr>
            <w:tcW w:w="5266" w:type="dxa"/>
            <w:tcBorders>
              <w:top w:val="nil"/>
              <w:left w:val="nil"/>
              <w:bottom w:val="single" w:sz="4" w:space="0" w:color="auto"/>
              <w:right w:val="single" w:sz="4" w:space="0" w:color="auto"/>
            </w:tcBorders>
            <w:shd w:val="clear" w:color="auto" w:fill="auto"/>
            <w:vAlign w:val="center"/>
            <w:hideMark/>
          </w:tcPr>
          <w:p w14:paraId="6D9D3952" w14:textId="77777777" w:rsidR="0066193B" w:rsidRPr="005066BD" w:rsidRDefault="0066193B" w:rsidP="0066193B">
            <w:pPr>
              <w:spacing w:after="0" w:line="240" w:lineRule="auto"/>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Съдебни разходи</w:t>
            </w:r>
          </w:p>
        </w:tc>
        <w:tc>
          <w:tcPr>
            <w:tcW w:w="1276" w:type="dxa"/>
            <w:tcBorders>
              <w:top w:val="nil"/>
              <w:left w:val="nil"/>
              <w:bottom w:val="single" w:sz="4" w:space="0" w:color="auto"/>
              <w:right w:val="single" w:sz="4" w:space="0" w:color="auto"/>
            </w:tcBorders>
            <w:shd w:val="clear" w:color="auto" w:fill="auto"/>
            <w:noWrap/>
            <w:vAlign w:val="center"/>
            <w:hideMark/>
          </w:tcPr>
          <w:p w14:paraId="43ACE358"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хил. лв.</w:t>
            </w:r>
          </w:p>
        </w:tc>
        <w:tc>
          <w:tcPr>
            <w:tcW w:w="1843" w:type="dxa"/>
            <w:tcBorders>
              <w:top w:val="nil"/>
              <w:left w:val="nil"/>
              <w:bottom w:val="single" w:sz="4" w:space="0" w:color="auto"/>
              <w:right w:val="single" w:sz="4" w:space="0" w:color="auto"/>
            </w:tcBorders>
            <w:shd w:val="clear" w:color="auto" w:fill="auto"/>
            <w:noWrap/>
          </w:tcPr>
          <w:p w14:paraId="72F36663" w14:textId="6472AEF8"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c>
          <w:tcPr>
            <w:tcW w:w="160" w:type="dxa"/>
            <w:vAlign w:val="center"/>
            <w:hideMark/>
          </w:tcPr>
          <w:p w14:paraId="7EABDF85" w14:textId="77777777" w:rsidR="0066193B" w:rsidRPr="005066BD" w:rsidRDefault="0066193B" w:rsidP="0066193B">
            <w:pPr>
              <w:spacing w:after="0" w:line="240" w:lineRule="auto"/>
              <w:rPr>
                <w:rFonts w:ascii="Times New Roman" w:eastAsia="Times New Roman" w:hAnsi="Times New Roman" w:cs="Times New Roman"/>
                <w:sz w:val="20"/>
                <w:szCs w:val="20"/>
                <w:lang w:eastAsia="bg-BG"/>
              </w:rPr>
            </w:pPr>
          </w:p>
        </w:tc>
      </w:tr>
      <w:tr w:rsidR="0066193B" w:rsidRPr="005066BD" w14:paraId="08415116" w14:textId="77777777" w:rsidTr="00AA0A1A">
        <w:trPr>
          <w:trHeight w:val="255"/>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1048AC5D"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5.13.</w:t>
            </w:r>
          </w:p>
        </w:tc>
        <w:tc>
          <w:tcPr>
            <w:tcW w:w="5266" w:type="dxa"/>
            <w:tcBorders>
              <w:top w:val="nil"/>
              <w:left w:val="nil"/>
              <w:bottom w:val="single" w:sz="4" w:space="0" w:color="auto"/>
              <w:right w:val="single" w:sz="4" w:space="0" w:color="auto"/>
            </w:tcBorders>
            <w:shd w:val="clear" w:color="auto" w:fill="auto"/>
            <w:vAlign w:val="center"/>
            <w:hideMark/>
          </w:tcPr>
          <w:p w14:paraId="4F0925A1" w14:textId="77777777" w:rsidR="0066193B" w:rsidRPr="005066BD" w:rsidRDefault="0066193B" w:rsidP="0066193B">
            <w:pPr>
              <w:spacing w:after="0" w:line="240" w:lineRule="auto"/>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Експертни и одиторски разходи</w:t>
            </w:r>
          </w:p>
        </w:tc>
        <w:tc>
          <w:tcPr>
            <w:tcW w:w="1276" w:type="dxa"/>
            <w:tcBorders>
              <w:top w:val="nil"/>
              <w:left w:val="nil"/>
              <w:bottom w:val="single" w:sz="4" w:space="0" w:color="auto"/>
              <w:right w:val="single" w:sz="4" w:space="0" w:color="auto"/>
            </w:tcBorders>
            <w:shd w:val="clear" w:color="auto" w:fill="auto"/>
            <w:noWrap/>
            <w:vAlign w:val="center"/>
            <w:hideMark/>
          </w:tcPr>
          <w:p w14:paraId="2CF57405"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хил. лв.</w:t>
            </w:r>
          </w:p>
        </w:tc>
        <w:tc>
          <w:tcPr>
            <w:tcW w:w="1843" w:type="dxa"/>
            <w:tcBorders>
              <w:top w:val="nil"/>
              <w:left w:val="nil"/>
              <w:bottom w:val="single" w:sz="4" w:space="0" w:color="auto"/>
              <w:right w:val="single" w:sz="4" w:space="0" w:color="auto"/>
            </w:tcBorders>
            <w:shd w:val="clear" w:color="auto" w:fill="auto"/>
            <w:noWrap/>
          </w:tcPr>
          <w:p w14:paraId="0256D126" w14:textId="1EAF5A2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c>
          <w:tcPr>
            <w:tcW w:w="160" w:type="dxa"/>
            <w:vAlign w:val="center"/>
            <w:hideMark/>
          </w:tcPr>
          <w:p w14:paraId="57A24BC3" w14:textId="77777777" w:rsidR="0066193B" w:rsidRPr="005066BD" w:rsidRDefault="0066193B" w:rsidP="0066193B">
            <w:pPr>
              <w:spacing w:after="0" w:line="240" w:lineRule="auto"/>
              <w:rPr>
                <w:rFonts w:ascii="Times New Roman" w:eastAsia="Times New Roman" w:hAnsi="Times New Roman" w:cs="Times New Roman"/>
                <w:sz w:val="20"/>
                <w:szCs w:val="20"/>
                <w:lang w:eastAsia="bg-BG"/>
              </w:rPr>
            </w:pPr>
          </w:p>
        </w:tc>
      </w:tr>
      <w:tr w:rsidR="0066193B" w:rsidRPr="005066BD" w14:paraId="2931EAEB" w14:textId="77777777" w:rsidTr="00AA0A1A">
        <w:trPr>
          <w:trHeight w:val="255"/>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4CD069EB"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5.14.</w:t>
            </w:r>
          </w:p>
        </w:tc>
        <w:tc>
          <w:tcPr>
            <w:tcW w:w="5266" w:type="dxa"/>
            <w:tcBorders>
              <w:top w:val="nil"/>
              <w:left w:val="nil"/>
              <w:bottom w:val="single" w:sz="4" w:space="0" w:color="auto"/>
              <w:right w:val="single" w:sz="4" w:space="0" w:color="auto"/>
            </w:tcBorders>
            <w:shd w:val="clear" w:color="auto" w:fill="auto"/>
            <w:noWrap/>
            <w:vAlign w:val="bottom"/>
            <w:hideMark/>
          </w:tcPr>
          <w:p w14:paraId="727C4DA9" w14:textId="77777777" w:rsidR="0066193B" w:rsidRPr="005066BD" w:rsidRDefault="0066193B" w:rsidP="0066193B">
            <w:pPr>
              <w:spacing w:after="0" w:line="240" w:lineRule="auto"/>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Наем хидротехнически съоръжения</w:t>
            </w:r>
          </w:p>
        </w:tc>
        <w:tc>
          <w:tcPr>
            <w:tcW w:w="1276" w:type="dxa"/>
            <w:tcBorders>
              <w:top w:val="nil"/>
              <w:left w:val="nil"/>
              <w:bottom w:val="single" w:sz="4" w:space="0" w:color="auto"/>
              <w:right w:val="single" w:sz="4" w:space="0" w:color="auto"/>
            </w:tcBorders>
            <w:shd w:val="clear" w:color="auto" w:fill="auto"/>
            <w:noWrap/>
            <w:vAlign w:val="center"/>
            <w:hideMark/>
          </w:tcPr>
          <w:p w14:paraId="25BC3ED0"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хил. лв.</w:t>
            </w:r>
          </w:p>
        </w:tc>
        <w:tc>
          <w:tcPr>
            <w:tcW w:w="1843" w:type="dxa"/>
            <w:tcBorders>
              <w:top w:val="nil"/>
              <w:left w:val="nil"/>
              <w:bottom w:val="single" w:sz="4" w:space="0" w:color="auto"/>
              <w:right w:val="single" w:sz="4" w:space="0" w:color="auto"/>
            </w:tcBorders>
            <w:shd w:val="clear" w:color="auto" w:fill="auto"/>
            <w:noWrap/>
          </w:tcPr>
          <w:p w14:paraId="5BC769FD" w14:textId="48225FE3"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c>
          <w:tcPr>
            <w:tcW w:w="160" w:type="dxa"/>
            <w:vAlign w:val="center"/>
            <w:hideMark/>
          </w:tcPr>
          <w:p w14:paraId="0C3A072C" w14:textId="77777777" w:rsidR="0066193B" w:rsidRPr="005066BD" w:rsidRDefault="0066193B" w:rsidP="0066193B">
            <w:pPr>
              <w:spacing w:after="0" w:line="240" w:lineRule="auto"/>
              <w:rPr>
                <w:rFonts w:ascii="Times New Roman" w:eastAsia="Times New Roman" w:hAnsi="Times New Roman" w:cs="Times New Roman"/>
                <w:sz w:val="20"/>
                <w:szCs w:val="20"/>
                <w:lang w:eastAsia="bg-BG"/>
              </w:rPr>
            </w:pPr>
          </w:p>
        </w:tc>
      </w:tr>
      <w:tr w:rsidR="0066193B" w:rsidRPr="005066BD" w14:paraId="563125B3" w14:textId="77777777" w:rsidTr="00AA0A1A">
        <w:trPr>
          <w:trHeight w:val="255"/>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7B0DFB3B"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5.15.</w:t>
            </w:r>
          </w:p>
        </w:tc>
        <w:tc>
          <w:tcPr>
            <w:tcW w:w="5266" w:type="dxa"/>
            <w:tcBorders>
              <w:top w:val="nil"/>
              <w:left w:val="nil"/>
              <w:bottom w:val="single" w:sz="4" w:space="0" w:color="auto"/>
              <w:right w:val="single" w:sz="4" w:space="0" w:color="auto"/>
            </w:tcBorders>
            <w:shd w:val="clear" w:color="auto" w:fill="auto"/>
            <w:vAlign w:val="center"/>
            <w:hideMark/>
          </w:tcPr>
          <w:p w14:paraId="626BF9AC" w14:textId="77777777" w:rsidR="0066193B" w:rsidRPr="005066BD" w:rsidRDefault="0066193B" w:rsidP="0066193B">
            <w:pPr>
              <w:spacing w:after="0" w:line="240" w:lineRule="auto"/>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Вода, отопление и осветление</w:t>
            </w:r>
          </w:p>
        </w:tc>
        <w:tc>
          <w:tcPr>
            <w:tcW w:w="1276" w:type="dxa"/>
            <w:tcBorders>
              <w:top w:val="nil"/>
              <w:left w:val="nil"/>
              <w:bottom w:val="single" w:sz="4" w:space="0" w:color="auto"/>
              <w:right w:val="single" w:sz="4" w:space="0" w:color="auto"/>
            </w:tcBorders>
            <w:shd w:val="clear" w:color="auto" w:fill="auto"/>
            <w:noWrap/>
            <w:vAlign w:val="center"/>
            <w:hideMark/>
          </w:tcPr>
          <w:p w14:paraId="63562368"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хил. лв.</w:t>
            </w:r>
          </w:p>
        </w:tc>
        <w:tc>
          <w:tcPr>
            <w:tcW w:w="1843" w:type="dxa"/>
            <w:tcBorders>
              <w:top w:val="nil"/>
              <w:left w:val="nil"/>
              <w:bottom w:val="single" w:sz="4" w:space="0" w:color="auto"/>
              <w:right w:val="single" w:sz="4" w:space="0" w:color="auto"/>
            </w:tcBorders>
            <w:shd w:val="clear" w:color="auto" w:fill="auto"/>
            <w:noWrap/>
          </w:tcPr>
          <w:p w14:paraId="65CC557C" w14:textId="69C55982"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c>
          <w:tcPr>
            <w:tcW w:w="160" w:type="dxa"/>
            <w:vAlign w:val="center"/>
            <w:hideMark/>
          </w:tcPr>
          <w:p w14:paraId="6AF8646A" w14:textId="77777777" w:rsidR="0066193B" w:rsidRPr="005066BD" w:rsidRDefault="0066193B" w:rsidP="0066193B">
            <w:pPr>
              <w:spacing w:after="0" w:line="240" w:lineRule="auto"/>
              <w:rPr>
                <w:rFonts w:ascii="Times New Roman" w:eastAsia="Times New Roman" w:hAnsi="Times New Roman" w:cs="Times New Roman"/>
                <w:sz w:val="20"/>
                <w:szCs w:val="20"/>
                <w:lang w:eastAsia="bg-BG"/>
              </w:rPr>
            </w:pPr>
          </w:p>
        </w:tc>
      </w:tr>
      <w:tr w:rsidR="0066193B" w:rsidRPr="005066BD" w14:paraId="1141CF00" w14:textId="77777777" w:rsidTr="004016C9">
        <w:trPr>
          <w:trHeight w:val="255"/>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36803326"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5.16.</w:t>
            </w:r>
          </w:p>
        </w:tc>
        <w:tc>
          <w:tcPr>
            <w:tcW w:w="5266" w:type="dxa"/>
            <w:tcBorders>
              <w:top w:val="nil"/>
              <w:left w:val="nil"/>
              <w:bottom w:val="single" w:sz="4" w:space="0" w:color="auto"/>
              <w:right w:val="single" w:sz="4" w:space="0" w:color="auto"/>
            </w:tcBorders>
            <w:shd w:val="clear" w:color="auto" w:fill="auto"/>
            <w:vAlign w:val="center"/>
            <w:hideMark/>
          </w:tcPr>
          <w:p w14:paraId="6F36FA97" w14:textId="77777777" w:rsidR="0066193B" w:rsidRPr="005066BD" w:rsidRDefault="0066193B" w:rsidP="0066193B">
            <w:pPr>
              <w:spacing w:after="0" w:line="240" w:lineRule="auto"/>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Такси лиценз</w:t>
            </w:r>
          </w:p>
        </w:tc>
        <w:tc>
          <w:tcPr>
            <w:tcW w:w="1276" w:type="dxa"/>
            <w:tcBorders>
              <w:top w:val="nil"/>
              <w:left w:val="nil"/>
              <w:bottom w:val="single" w:sz="4" w:space="0" w:color="auto"/>
              <w:right w:val="single" w:sz="4" w:space="0" w:color="auto"/>
            </w:tcBorders>
            <w:shd w:val="clear" w:color="auto" w:fill="auto"/>
            <w:noWrap/>
            <w:vAlign w:val="center"/>
            <w:hideMark/>
          </w:tcPr>
          <w:p w14:paraId="2B385F21"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хил. лв.</w:t>
            </w:r>
          </w:p>
        </w:tc>
        <w:tc>
          <w:tcPr>
            <w:tcW w:w="1843" w:type="dxa"/>
            <w:tcBorders>
              <w:top w:val="nil"/>
              <w:left w:val="nil"/>
              <w:bottom w:val="single" w:sz="4" w:space="0" w:color="auto"/>
              <w:right w:val="single" w:sz="4" w:space="0" w:color="auto"/>
            </w:tcBorders>
            <w:shd w:val="clear" w:color="auto" w:fill="auto"/>
            <w:noWrap/>
          </w:tcPr>
          <w:p w14:paraId="0022CF9C" w14:textId="5DA76B81"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c>
          <w:tcPr>
            <w:tcW w:w="160" w:type="dxa"/>
            <w:vAlign w:val="center"/>
            <w:hideMark/>
          </w:tcPr>
          <w:p w14:paraId="528346D9" w14:textId="77777777" w:rsidR="0066193B" w:rsidRPr="005066BD" w:rsidRDefault="0066193B" w:rsidP="0066193B">
            <w:pPr>
              <w:spacing w:after="0" w:line="240" w:lineRule="auto"/>
              <w:rPr>
                <w:rFonts w:ascii="Times New Roman" w:eastAsia="Times New Roman" w:hAnsi="Times New Roman" w:cs="Times New Roman"/>
                <w:sz w:val="20"/>
                <w:szCs w:val="20"/>
                <w:lang w:eastAsia="bg-BG"/>
              </w:rPr>
            </w:pPr>
          </w:p>
        </w:tc>
      </w:tr>
      <w:tr w:rsidR="0066193B" w:rsidRPr="005066BD" w14:paraId="37820493" w14:textId="77777777" w:rsidTr="004016C9">
        <w:trPr>
          <w:trHeight w:val="57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24AEDE89"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5.17.</w:t>
            </w:r>
          </w:p>
        </w:tc>
        <w:tc>
          <w:tcPr>
            <w:tcW w:w="5266" w:type="dxa"/>
            <w:tcBorders>
              <w:top w:val="nil"/>
              <w:left w:val="nil"/>
              <w:bottom w:val="single" w:sz="4" w:space="0" w:color="auto"/>
              <w:right w:val="single" w:sz="4" w:space="0" w:color="auto"/>
            </w:tcBorders>
            <w:shd w:val="clear" w:color="auto" w:fill="auto"/>
            <w:vAlign w:val="center"/>
            <w:hideMark/>
          </w:tcPr>
          <w:p w14:paraId="639BF5B3" w14:textId="77777777" w:rsidR="0066193B" w:rsidRPr="005066BD" w:rsidRDefault="0066193B" w:rsidP="0066193B">
            <w:pPr>
              <w:spacing w:after="0" w:line="240" w:lineRule="auto"/>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Безплатна предпазна храна съгласно нормативен акт</w:t>
            </w:r>
          </w:p>
        </w:tc>
        <w:tc>
          <w:tcPr>
            <w:tcW w:w="1276" w:type="dxa"/>
            <w:tcBorders>
              <w:top w:val="nil"/>
              <w:left w:val="nil"/>
              <w:bottom w:val="single" w:sz="4" w:space="0" w:color="auto"/>
              <w:right w:val="single" w:sz="4" w:space="0" w:color="auto"/>
            </w:tcBorders>
            <w:shd w:val="clear" w:color="auto" w:fill="auto"/>
            <w:noWrap/>
            <w:vAlign w:val="center"/>
            <w:hideMark/>
          </w:tcPr>
          <w:p w14:paraId="712DBC40"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хил. лв.</w:t>
            </w:r>
          </w:p>
        </w:tc>
        <w:tc>
          <w:tcPr>
            <w:tcW w:w="1843" w:type="dxa"/>
            <w:tcBorders>
              <w:top w:val="nil"/>
              <w:left w:val="nil"/>
              <w:bottom w:val="single" w:sz="4" w:space="0" w:color="auto"/>
              <w:right w:val="single" w:sz="4" w:space="0" w:color="auto"/>
            </w:tcBorders>
            <w:shd w:val="clear" w:color="auto" w:fill="auto"/>
            <w:noWrap/>
          </w:tcPr>
          <w:p w14:paraId="2F806156" w14:textId="7AD41651"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c>
          <w:tcPr>
            <w:tcW w:w="160" w:type="dxa"/>
            <w:vAlign w:val="center"/>
            <w:hideMark/>
          </w:tcPr>
          <w:p w14:paraId="6B22F79C" w14:textId="77777777" w:rsidR="0066193B" w:rsidRPr="005066BD" w:rsidRDefault="0066193B" w:rsidP="0066193B">
            <w:pPr>
              <w:spacing w:after="0" w:line="240" w:lineRule="auto"/>
              <w:rPr>
                <w:rFonts w:ascii="Times New Roman" w:eastAsia="Times New Roman" w:hAnsi="Times New Roman" w:cs="Times New Roman"/>
                <w:sz w:val="20"/>
                <w:szCs w:val="20"/>
                <w:lang w:eastAsia="bg-BG"/>
              </w:rPr>
            </w:pPr>
          </w:p>
        </w:tc>
      </w:tr>
      <w:tr w:rsidR="0066193B" w:rsidRPr="005066BD" w14:paraId="2E2B83B2" w14:textId="77777777" w:rsidTr="004016C9">
        <w:trPr>
          <w:trHeight w:val="24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11F63A45"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5.18.</w:t>
            </w:r>
          </w:p>
        </w:tc>
        <w:tc>
          <w:tcPr>
            <w:tcW w:w="5266" w:type="dxa"/>
            <w:tcBorders>
              <w:top w:val="nil"/>
              <w:left w:val="nil"/>
              <w:bottom w:val="single" w:sz="4" w:space="0" w:color="auto"/>
              <w:right w:val="single" w:sz="4" w:space="0" w:color="auto"/>
            </w:tcBorders>
            <w:shd w:val="clear" w:color="auto" w:fill="auto"/>
            <w:vAlign w:val="center"/>
            <w:hideMark/>
          </w:tcPr>
          <w:p w14:paraId="2E262BC1" w14:textId="77777777" w:rsidR="0066193B" w:rsidRPr="005066BD" w:rsidRDefault="0066193B" w:rsidP="0066193B">
            <w:pPr>
              <w:spacing w:after="0" w:line="240" w:lineRule="auto"/>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Охрана на труда</w:t>
            </w:r>
          </w:p>
        </w:tc>
        <w:tc>
          <w:tcPr>
            <w:tcW w:w="1276" w:type="dxa"/>
            <w:tcBorders>
              <w:top w:val="nil"/>
              <w:left w:val="nil"/>
              <w:bottom w:val="single" w:sz="4" w:space="0" w:color="auto"/>
              <w:right w:val="single" w:sz="4" w:space="0" w:color="auto"/>
            </w:tcBorders>
            <w:shd w:val="clear" w:color="auto" w:fill="auto"/>
            <w:noWrap/>
            <w:vAlign w:val="center"/>
            <w:hideMark/>
          </w:tcPr>
          <w:p w14:paraId="096957EB"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хил. лв.</w:t>
            </w:r>
          </w:p>
        </w:tc>
        <w:tc>
          <w:tcPr>
            <w:tcW w:w="1843" w:type="dxa"/>
            <w:tcBorders>
              <w:top w:val="nil"/>
              <w:left w:val="nil"/>
              <w:bottom w:val="single" w:sz="4" w:space="0" w:color="auto"/>
              <w:right w:val="single" w:sz="4" w:space="0" w:color="auto"/>
            </w:tcBorders>
            <w:shd w:val="clear" w:color="auto" w:fill="auto"/>
            <w:noWrap/>
          </w:tcPr>
          <w:p w14:paraId="2B4CFB7A" w14:textId="35691531"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c>
          <w:tcPr>
            <w:tcW w:w="160" w:type="dxa"/>
            <w:vAlign w:val="center"/>
            <w:hideMark/>
          </w:tcPr>
          <w:p w14:paraId="43585116" w14:textId="77777777" w:rsidR="0066193B" w:rsidRPr="005066BD" w:rsidRDefault="0066193B" w:rsidP="0066193B">
            <w:pPr>
              <w:spacing w:after="0" w:line="240" w:lineRule="auto"/>
              <w:rPr>
                <w:rFonts w:ascii="Times New Roman" w:eastAsia="Times New Roman" w:hAnsi="Times New Roman" w:cs="Times New Roman"/>
                <w:sz w:val="20"/>
                <w:szCs w:val="20"/>
                <w:lang w:eastAsia="bg-BG"/>
              </w:rPr>
            </w:pPr>
          </w:p>
        </w:tc>
      </w:tr>
      <w:tr w:rsidR="0066193B" w:rsidRPr="005066BD" w14:paraId="698D21D1" w14:textId="77777777" w:rsidTr="004016C9">
        <w:trPr>
          <w:trHeight w:val="255"/>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5668212C"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lastRenderedPageBreak/>
              <w:t>5.19.</w:t>
            </w:r>
          </w:p>
        </w:tc>
        <w:tc>
          <w:tcPr>
            <w:tcW w:w="5266" w:type="dxa"/>
            <w:tcBorders>
              <w:top w:val="nil"/>
              <w:left w:val="nil"/>
              <w:bottom w:val="single" w:sz="4" w:space="0" w:color="auto"/>
              <w:right w:val="single" w:sz="4" w:space="0" w:color="auto"/>
            </w:tcBorders>
            <w:shd w:val="clear" w:color="auto" w:fill="auto"/>
            <w:vAlign w:val="center"/>
            <w:hideMark/>
          </w:tcPr>
          <w:p w14:paraId="73CD8932" w14:textId="77777777" w:rsidR="0066193B" w:rsidRPr="005066BD" w:rsidRDefault="0066193B" w:rsidP="0066193B">
            <w:pPr>
              <w:spacing w:after="0" w:line="240" w:lineRule="auto"/>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Служебни карти/превоз на персонала/</w:t>
            </w:r>
          </w:p>
        </w:tc>
        <w:tc>
          <w:tcPr>
            <w:tcW w:w="1276" w:type="dxa"/>
            <w:tcBorders>
              <w:top w:val="nil"/>
              <w:left w:val="nil"/>
              <w:bottom w:val="single" w:sz="4" w:space="0" w:color="auto"/>
              <w:right w:val="single" w:sz="4" w:space="0" w:color="auto"/>
            </w:tcBorders>
            <w:shd w:val="clear" w:color="auto" w:fill="auto"/>
            <w:noWrap/>
            <w:vAlign w:val="center"/>
            <w:hideMark/>
          </w:tcPr>
          <w:p w14:paraId="2F1538CE"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хил. лв.</w:t>
            </w:r>
          </w:p>
        </w:tc>
        <w:tc>
          <w:tcPr>
            <w:tcW w:w="1843" w:type="dxa"/>
            <w:tcBorders>
              <w:top w:val="nil"/>
              <w:left w:val="nil"/>
              <w:bottom w:val="single" w:sz="4" w:space="0" w:color="auto"/>
              <w:right w:val="single" w:sz="4" w:space="0" w:color="auto"/>
            </w:tcBorders>
            <w:shd w:val="clear" w:color="auto" w:fill="auto"/>
            <w:noWrap/>
          </w:tcPr>
          <w:p w14:paraId="5CA244D6" w14:textId="1B5EC4B5"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c>
          <w:tcPr>
            <w:tcW w:w="160" w:type="dxa"/>
            <w:vAlign w:val="center"/>
            <w:hideMark/>
          </w:tcPr>
          <w:p w14:paraId="5837A3A0" w14:textId="77777777" w:rsidR="0066193B" w:rsidRPr="005066BD" w:rsidRDefault="0066193B" w:rsidP="0066193B">
            <w:pPr>
              <w:spacing w:after="0" w:line="240" w:lineRule="auto"/>
              <w:rPr>
                <w:rFonts w:ascii="Times New Roman" w:eastAsia="Times New Roman" w:hAnsi="Times New Roman" w:cs="Times New Roman"/>
                <w:sz w:val="20"/>
                <w:szCs w:val="20"/>
                <w:lang w:eastAsia="bg-BG"/>
              </w:rPr>
            </w:pPr>
          </w:p>
        </w:tc>
      </w:tr>
      <w:tr w:rsidR="0066193B" w:rsidRPr="005066BD" w14:paraId="01143217" w14:textId="77777777" w:rsidTr="004016C9">
        <w:trPr>
          <w:trHeight w:val="255"/>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66572FF5"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5.20.</w:t>
            </w:r>
          </w:p>
        </w:tc>
        <w:tc>
          <w:tcPr>
            <w:tcW w:w="5266" w:type="dxa"/>
            <w:tcBorders>
              <w:top w:val="nil"/>
              <w:left w:val="nil"/>
              <w:bottom w:val="single" w:sz="4" w:space="0" w:color="auto"/>
              <w:right w:val="single" w:sz="4" w:space="0" w:color="auto"/>
            </w:tcBorders>
            <w:shd w:val="clear" w:color="auto" w:fill="auto"/>
            <w:vAlign w:val="center"/>
            <w:hideMark/>
          </w:tcPr>
          <w:p w14:paraId="39D7AC76" w14:textId="77777777" w:rsidR="0066193B" w:rsidRPr="005066BD" w:rsidRDefault="0066193B" w:rsidP="0066193B">
            <w:pPr>
              <w:spacing w:after="0" w:line="240" w:lineRule="auto"/>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Командировки</w:t>
            </w:r>
          </w:p>
        </w:tc>
        <w:tc>
          <w:tcPr>
            <w:tcW w:w="1276" w:type="dxa"/>
            <w:tcBorders>
              <w:top w:val="nil"/>
              <w:left w:val="nil"/>
              <w:bottom w:val="single" w:sz="4" w:space="0" w:color="auto"/>
              <w:right w:val="single" w:sz="4" w:space="0" w:color="auto"/>
            </w:tcBorders>
            <w:shd w:val="clear" w:color="auto" w:fill="auto"/>
            <w:noWrap/>
            <w:vAlign w:val="center"/>
            <w:hideMark/>
          </w:tcPr>
          <w:p w14:paraId="21FFF845"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хил. лв.</w:t>
            </w:r>
          </w:p>
        </w:tc>
        <w:tc>
          <w:tcPr>
            <w:tcW w:w="1843" w:type="dxa"/>
            <w:tcBorders>
              <w:top w:val="nil"/>
              <w:left w:val="nil"/>
              <w:bottom w:val="single" w:sz="4" w:space="0" w:color="auto"/>
              <w:right w:val="single" w:sz="4" w:space="0" w:color="auto"/>
            </w:tcBorders>
            <w:shd w:val="clear" w:color="auto" w:fill="auto"/>
            <w:noWrap/>
          </w:tcPr>
          <w:p w14:paraId="15B43624" w14:textId="1DAD074F"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c>
          <w:tcPr>
            <w:tcW w:w="160" w:type="dxa"/>
            <w:vAlign w:val="center"/>
            <w:hideMark/>
          </w:tcPr>
          <w:p w14:paraId="3D8DB98D" w14:textId="77777777" w:rsidR="0066193B" w:rsidRPr="005066BD" w:rsidRDefault="0066193B" w:rsidP="0066193B">
            <w:pPr>
              <w:spacing w:after="0" w:line="240" w:lineRule="auto"/>
              <w:rPr>
                <w:rFonts w:ascii="Times New Roman" w:eastAsia="Times New Roman" w:hAnsi="Times New Roman" w:cs="Times New Roman"/>
                <w:sz w:val="20"/>
                <w:szCs w:val="20"/>
                <w:lang w:eastAsia="bg-BG"/>
              </w:rPr>
            </w:pPr>
          </w:p>
        </w:tc>
      </w:tr>
      <w:tr w:rsidR="0066193B" w:rsidRPr="005066BD" w14:paraId="2AD5DA78" w14:textId="77777777" w:rsidTr="0066193B">
        <w:trPr>
          <w:trHeight w:val="555"/>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7ED243FD"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5.21.</w:t>
            </w:r>
          </w:p>
        </w:tc>
        <w:tc>
          <w:tcPr>
            <w:tcW w:w="5266" w:type="dxa"/>
            <w:tcBorders>
              <w:top w:val="nil"/>
              <w:left w:val="nil"/>
              <w:bottom w:val="single" w:sz="4" w:space="0" w:color="auto"/>
              <w:right w:val="single" w:sz="4" w:space="0" w:color="auto"/>
            </w:tcBorders>
            <w:shd w:val="clear" w:color="auto" w:fill="auto"/>
            <w:vAlign w:val="center"/>
            <w:hideMark/>
          </w:tcPr>
          <w:p w14:paraId="6387447C" w14:textId="77777777" w:rsidR="0066193B" w:rsidRPr="005066BD" w:rsidRDefault="0066193B" w:rsidP="0066193B">
            <w:pPr>
              <w:spacing w:after="0" w:line="240" w:lineRule="auto"/>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Такса ФСЕС, целеви вноски Регламент на ЕС 2022/1854</w:t>
            </w:r>
          </w:p>
        </w:tc>
        <w:tc>
          <w:tcPr>
            <w:tcW w:w="1276" w:type="dxa"/>
            <w:tcBorders>
              <w:top w:val="nil"/>
              <w:left w:val="nil"/>
              <w:bottom w:val="single" w:sz="4" w:space="0" w:color="auto"/>
              <w:right w:val="single" w:sz="4" w:space="0" w:color="auto"/>
            </w:tcBorders>
            <w:shd w:val="clear" w:color="auto" w:fill="auto"/>
            <w:noWrap/>
            <w:vAlign w:val="center"/>
            <w:hideMark/>
          </w:tcPr>
          <w:p w14:paraId="575B2CED" w14:textId="77777777"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sidRPr="005066BD">
              <w:rPr>
                <w:rFonts w:ascii="Times New Roman" w:eastAsia="Times New Roman" w:hAnsi="Times New Roman" w:cs="Times New Roman"/>
                <w:sz w:val="18"/>
                <w:szCs w:val="18"/>
                <w:lang w:eastAsia="bg-BG"/>
              </w:rPr>
              <w:t>хил. лв.</w:t>
            </w:r>
          </w:p>
        </w:tc>
        <w:tc>
          <w:tcPr>
            <w:tcW w:w="1843" w:type="dxa"/>
            <w:tcBorders>
              <w:top w:val="nil"/>
              <w:left w:val="nil"/>
              <w:bottom w:val="single" w:sz="4" w:space="0" w:color="auto"/>
              <w:right w:val="single" w:sz="4" w:space="0" w:color="auto"/>
            </w:tcBorders>
            <w:shd w:val="clear" w:color="auto" w:fill="auto"/>
            <w:noWrap/>
            <w:vAlign w:val="center"/>
          </w:tcPr>
          <w:p w14:paraId="645CF574" w14:textId="5B513316" w:rsidR="0066193B" w:rsidRPr="005066BD" w:rsidRDefault="0066193B" w:rsidP="0066193B">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c>
          <w:tcPr>
            <w:tcW w:w="160" w:type="dxa"/>
            <w:vAlign w:val="center"/>
            <w:hideMark/>
          </w:tcPr>
          <w:p w14:paraId="5D413D34" w14:textId="77777777" w:rsidR="0066193B" w:rsidRPr="005066BD" w:rsidRDefault="0066193B" w:rsidP="0066193B">
            <w:pPr>
              <w:spacing w:after="0" w:line="240" w:lineRule="auto"/>
              <w:rPr>
                <w:rFonts w:ascii="Times New Roman" w:eastAsia="Times New Roman" w:hAnsi="Times New Roman" w:cs="Times New Roman"/>
                <w:sz w:val="20"/>
                <w:szCs w:val="20"/>
                <w:lang w:eastAsia="bg-BG"/>
              </w:rPr>
            </w:pPr>
          </w:p>
        </w:tc>
      </w:tr>
    </w:tbl>
    <w:p w14:paraId="13E086F5" w14:textId="4F5DFDAA" w:rsidR="00A8412F" w:rsidRDefault="00A8412F" w:rsidP="003D51C0">
      <w:pPr>
        <w:tabs>
          <w:tab w:val="num" w:pos="520"/>
        </w:tabs>
        <w:suppressAutoHyphens/>
        <w:spacing w:after="120" w:line="240" w:lineRule="auto"/>
        <w:ind w:left="708"/>
        <w:jc w:val="both"/>
        <w:rPr>
          <w:rFonts w:ascii="Times New Roman" w:eastAsia="Times New Roman" w:hAnsi="Times New Roman" w:cs="Times New Roman"/>
          <w:sz w:val="20"/>
          <w:szCs w:val="20"/>
          <w:lang w:eastAsia="bg-BG"/>
        </w:rPr>
      </w:pPr>
    </w:p>
    <w:p w14:paraId="37B9286A" w14:textId="59F84B87" w:rsidR="00D53243" w:rsidRPr="00A8412F" w:rsidRDefault="00A8412F" w:rsidP="003D51C0">
      <w:pPr>
        <w:pStyle w:val="ListParagraph"/>
        <w:numPr>
          <w:ilvl w:val="1"/>
          <w:numId w:val="23"/>
        </w:numPr>
        <w:tabs>
          <w:tab w:val="num" w:pos="520"/>
        </w:tabs>
        <w:suppressAutoHyphens/>
        <w:spacing w:after="120" w:line="240" w:lineRule="auto"/>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 xml:space="preserve"> </w:t>
      </w:r>
      <w:r w:rsidR="00D53243" w:rsidRPr="00A8412F">
        <w:rPr>
          <w:rFonts w:ascii="Times New Roman" w:eastAsia="Times New Roman" w:hAnsi="Times New Roman" w:cs="Times New Roman"/>
          <w:b/>
          <w:sz w:val="24"/>
          <w:szCs w:val="24"/>
          <w:lang w:eastAsia="bg-BG"/>
        </w:rPr>
        <w:t>Разходи за заплати (възнаграждения)</w:t>
      </w:r>
    </w:p>
    <w:p w14:paraId="29917EBF" w14:textId="7F991D20" w:rsidR="00E40998" w:rsidRPr="00885075" w:rsidRDefault="00D53243" w:rsidP="00B57AFB">
      <w:pPr>
        <w:spacing w:line="240" w:lineRule="auto"/>
        <w:ind w:firstLine="360"/>
        <w:jc w:val="both"/>
      </w:pPr>
      <w:r w:rsidRPr="00D53243">
        <w:rPr>
          <w:rFonts w:ascii="Times New Roman" w:eastAsia="Times New Roman" w:hAnsi="Times New Roman" w:cs="Times New Roman"/>
          <w:sz w:val="24"/>
          <w:szCs w:val="24"/>
          <w:lang w:eastAsia="bg-BG"/>
        </w:rPr>
        <w:t xml:space="preserve">Планираните средства за работни заплати и осигуровки за новия ценови период възлизат на </w:t>
      </w:r>
      <w:r w:rsidR="0066193B">
        <w:rPr>
          <w:rFonts w:ascii="Times New Roman" w:eastAsia="Times New Roman" w:hAnsi="Times New Roman" w:cs="Times New Roman"/>
          <w:sz w:val="24"/>
          <w:szCs w:val="24"/>
          <w:lang w:eastAsia="bg-BG"/>
        </w:rPr>
        <w:t>………..</w:t>
      </w:r>
      <w:r w:rsidRPr="00D53243">
        <w:rPr>
          <w:rFonts w:ascii="Times New Roman" w:eastAsia="Times New Roman" w:hAnsi="Times New Roman" w:cs="Times New Roman"/>
          <w:b/>
          <w:sz w:val="24"/>
          <w:szCs w:val="24"/>
          <w:lang w:eastAsia="bg-BG"/>
        </w:rPr>
        <w:t xml:space="preserve"> хил.</w:t>
      </w:r>
      <w:r>
        <w:rPr>
          <w:rFonts w:ascii="Times New Roman" w:eastAsia="Times New Roman" w:hAnsi="Times New Roman" w:cs="Times New Roman"/>
          <w:b/>
          <w:sz w:val="24"/>
          <w:szCs w:val="24"/>
          <w:lang w:eastAsia="bg-BG"/>
        </w:rPr>
        <w:t xml:space="preserve"> </w:t>
      </w:r>
      <w:r w:rsidRPr="00D53243">
        <w:rPr>
          <w:rFonts w:ascii="Times New Roman" w:eastAsia="Times New Roman" w:hAnsi="Times New Roman" w:cs="Times New Roman"/>
          <w:b/>
          <w:sz w:val="24"/>
          <w:szCs w:val="24"/>
          <w:lang w:eastAsia="bg-BG"/>
        </w:rPr>
        <w:t>лв</w:t>
      </w:r>
      <w:r w:rsidRPr="00D53243">
        <w:rPr>
          <w:rFonts w:ascii="Times New Roman" w:eastAsia="Times New Roman" w:hAnsi="Times New Roman" w:cs="Times New Roman"/>
          <w:sz w:val="24"/>
          <w:szCs w:val="24"/>
          <w:lang w:eastAsia="bg-BG"/>
        </w:rPr>
        <w:t>. Средствата за работни заплати през нов</w:t>
      </w:r>
      <w:r>
        <w:rPr>
          <w:rFonts w:ascii="Times New Roman" w:eastAsia="Times New Roman" w:hAnsi="Times New Roman" w:cs="Times New Roman"/>
          <w:sz w:val="24"/>
          <w:szCs w:val="24"/>
          <w:lang w:eastAsia="bg-BG"/>
        </w:rPr>
        <w:t>ия ценови пер</w:t>
      </w:r>
      <w:r w:rsidR="008D0AF7">
        <w:rPr>
          <w:rFonts w:ascii="Times New Roman" w:eastAsia="Times New Roman" w:hAnsi="Times New Roman" w:cs="Times New Roman"/>
          <w:sz w:val="24"/>
          <w:szCs w:val="24"/>
          <w:lang w:eastAsia="bg-BG"/>
        </w:rPr>
        <w:t xml:space="preserve">иод </w:t>
      </w:r>
      <w:r w:rsidR="005B1FDA">
        <w:rPr>
          <w:rFonts w:ascii="Times New Roman" w:eastAsia="Times New Roman" w:hAnsi="Times New Roman" w:cs="Times New Roman"/>
          <w:sz w:val="24"/>
          <w:szCs w:val="24"/>
          <w:lang w:eastAsia="bg-BG"/>
        </w:rPr>
        <w:t xml:space="preserve">се </w:t>
      </w:r>
      <w:proofErr w:type="spellStart"/>
      <w:r w:rsidR="00F64303">
        <w:rPr>
          <w:rFonts w:ascii="Times New Roman" w:eastAsia="Times New Roman" w:hAnsi="Times New Roman" w:cs="Times New Roman"/>
          <w:sz w:val="24"/>
          <w:szCs w:val="24"/>
          <w:lang w:eastAsia="bg-BG"/>
        </w:rPr>
        <w:t>се</w:t>
      </w:r>
      <w:proofErr w:type="spellEnd"/>
      <w:r w:rsidR="00F64303">
        <w:rPr>
          <w:rFonts w:ascii="Times New Roman" w:eastAsia="Times New Roman" w:hAnsi="Times New Roman" w:cs="Times New Roman"/>
          <w:sz w:val="24"/>
          <w:szCs w:val="24"/>
          <w:lang w:eastAsia="bg-BG"/>
        </w:rPr>
        <w:t xml:space="preserve"> запаз</w:t>
      </w:r>
      <w:r w:rsidR="0066193B">
        <w:rPr>
          <w:rFonts w:ascii="Times New Roman" w:eastAsia="Times New Roman" w:hAnsi="Times New Roman" w:cs="Times New Roman"/>
          <w:sz w:val="24"/>
          <w:szCs w:val="24"/>
          <w:lang w:eastAsia="bg-BG"/>
        </w:rPr>
        <w:t>в</w:t>
      </w:r>
      <w:r w:rsidR="00F64303">
        <w:rPr>
          <w:rFonts w:ascii="Times New Roman" w:eastAsia="Times New Roman" w:hAnsi="Times New Roman" w:cs="Times New Roman"/>
          <w:sz w:val="24"/>
          <w:szCs w:val="24"/>
          <w:lang w:eastAsia="bg-BG"/>
        </w:rPr>
        <w:t>ат на същото ниви</w:t>
      </w:r>
      <w:r w:rsidR="006E19B2">
        <w:rPr>
          <w:rFonts w:ascii="Times New Roman" w:eastAsia="Times New Roman" w:hAnsi="Times New Roman" w:cs="Times New Roman"/>
          <w:sz w:val="24"/>
          <w:szCs w:val="24"/>
          <w:lang w:eastAsia="bg-BG"/>
        </w:rPr>
        <w:t xml:space="preserve"> спрямо отчетените за </w:t>
      </w:r>
      <w:r w:rsidR="006E19B2" w:rsidRPr="0042046D">
        <w:rPr>
          <w:rFonts w:ascii="Times New Roman" w:eastAsia="Times New Roman" w:hAnsi="Times New Roman" w:cs="Times New Roman"/>
          <w:sz w:val="24"/>
          <w:szCs w:val="24"/>
          <w:lang w:eastAsia="bg-BG"/>
        </w:rPr>
        <w:t>202</w:t>
      </w:r>
      <w:r w:rsidR="00F64303">
        <w:rPr>
          <w:rFonts w:ascii="Times New Roman" w:eastAsia="Times New Roman" w:hAnsi="Times New Roman" w:cs="Times New Roman"/>
          <w:sz w:val="24"/>
          <w:szCs w:val="24"/>
          <w:lang w:eastAsia="bg-BG"/>
        </w:rPr>
        <w:t>4</w:t>
      </w:r>
      <w:r w:rsidRPr="0042046D">
        <w:rPr>
          <w:rFonts w:ascii="Times New Roman" w:eastAsia="Times New Roman" w:hAnsi="Times New Roman" w:cs="Times New Roman"/>
          <w:sz w:val="24"/>
          <w:szCs w:val="24"/>
          <w:lang w:eastAsia="bg-BG"/>
        </w:rPr>
        <w:t xml:space="preserve"> г.</w:t>
      </w:r>
      <w:r w:rsidR="009841AF" w:rsidRPr="0042046D">
        <w:rPr>
          <w:rFonts w:ascii="Times New Roman" w:eastAsia="Times New Roman" w:hAnsi="Times New Roman" w:cs="Times New Roman"/>
          <w:sz w:val="24"/>
          <w:szCs w:val="24"/>
          <w:lang w:val="en-US" w:eastAsia="bg-BG"/>
        </w:rPr>
        <w:t xml:space="preserve"> </w:t>
      </w:r>
      <w:r w:rsidR="0042046D" w:rsidRPr="001E36A9">
        <w:rPr>
          <w:rFonts w:ascii="Times New Roman" w:eastAsia="Times New Roman" w:hAnsi="Times New Roman" w:cs="Times New Roman"/>
          <w:sz w:val="24"/>
          <w:szCs w:val="24"/>
          <w:lang w:eastAsia="bg-BG"/>
        </w:rPr>
        <w:t xml:space="preserve">На основание </w:t>
      </w:r>
      <w:r w:rsidR="004F2315" w:rsidRPr="001E36A9">
        <w:rPr>
          <w:rFonts w:ascii="Times New Roman" w:hAnsi="Times New Roman" w:cs="Times New Roman"/>
          <w:color w:val="000000"/>
          <w:sz w:val="24"/>
          <w:szCs w:val="24"/>
        </w:rPr>
        <w:t xml:space="preserve"> чл.61</w:t>
      </w:r>
      <w:r w:rsidR="0042046D" w:rsidRPr="001E36A9">
        <w:rPr>
          <w:rFonts w:ascii="Times New Roman" w:hAnsi="Times New Roman" w:cs="Times New Roman"/>
          <w:color w:val="000000"/>
          <w:sz w:val="24"/>
          <w:szCs w:val="24"/>
        </w:rPr>
        <w:t xml:space="preserve">,ал.1 </w:t>
      </w:r>
      <w:r w:rsidR="004F2315" w:rsidRPr="001E36A9">
        <w:rPr>
          <w:rFonts w:ascii="Times New Roman" w:hAnsi="Times New Roman" w:cs="Times New Roman"/>
          <w:color w:val="000000"/>
          <w:sz w:val="24"/>
          <w:szCs w:val="24"/>
        </w:rPr>
        <w:t xml:space="preserve"> от КТД</w:t>
      </w:r>
      <w:r w:rsidR="0042046D" w:rsidRPr="001E36A9">
        <w:rPr>
          <w:rFonts w:ascii="Times New Roman" w:hAnsi="Times New Roman" w:cs="Times New Roman"/>
          <w:color w:val="000000"/>
          <w:sz w:val="24"/>
          <w:szCs w:val="24"/>
        </w:rPr>
        <w:t xml:space="preserve"> </w:t>
      </w:r>
      <w:r w:rsidR="0066193B">
        <w:rPr>
          <w:rFonts w:ascii="Times New Roman" w:hAnsi="Times New Roman" w:cs="Times New Roman"/>
          <w:color w:val="000000"/>
          <w:sz w:val="24"/>
          <w:szCs w:val="24"/>
        </w:rPr>
        <w:t>………..</w:t>
      </w:r>
      <w:r w:rsidR="0042046D" w:rsidRPr="001E36A9">
        <w:rPr>
          <w:rFonts w:ascii="Times New Roman" w:hAnsi="Times New Roman" w:cs="Times New Roman"/>
          <w:color w:val="000000"/>
          <w:sz w:val="24"/>
          <w:szCs w:val="24"/>
        </w:rPr>
        <w:t xml:space="preserve"> и заповед № </w:t>
      </w:r>
      <w:r w:rsidR="0066193B">
        <w:rPr>
          <w:rFonts w:ascii="Times New Roman" w:hAnsi="Times New Roman" w:cs="Times New Roman"/>
          <w:color w:val="000000"/>
          <w:sz w:val="24"/>
          <w:szCs w:val="24"/>
        </w:rPr>
        <w:t>……………….</w:t>
      </w:r>
      <w:r w:rsidR="0042046D" w:rsidRPr="001E36A9">
        <w:rPr>
          <w:rFonts w:ascii="Times New Roman" w:hAnsi="Times New Roman" w:cs="Times New Roman"/>
          <w:color w:val="000000"/>
          <w:sz w:val="24"/>
          <w:szCs w:val="24"/>
        </w:rPr>
        <w:t>г. на Изпълнителния Директор</w:t>
      </w:r>
      <w:r w:rsidR="001E36A9" w:rsidRPr="001E36A9">
        <w:rPr>
          <w:rFonts w:ascii="Times New Roman" w:hAnsi="Times New Roman" w:cs="Times New Roman"/>
          <w:color w:val="000000"/>
          <w:sz w:val="24"/>
          <w:szCs w:val="24"/>
        </w:rPr>
        <w:t xml:space="preserve"> беше</w:t>
      </w:r>
      <w:r w:rsidR="004F2315" w:rsidRPr="001E36A9">
        <w:rPr>
          <w:rFonts w:ascii="Times New Roman" w:hAnsi="Times New Roman" w:cs="Times New Roman"/>
          <w:color w:val="000000"/>
          <w:sz w:val="24"/>
          <w:szCs w:val="24"/>
        </w:rPr>
        <w:t xml:space="preserve"> прието размерът на основните месечни трудови възнаграждения в „ТЕЦ Марица изток 2“ ЕАД да се</w:t>
      </w:r>
      <w:r w:rsidR="0042046D" w:rsidRPr="001E36A9">
        <w:rPr>
          <w:rFonts w:ascii="Times New Roman" w:hAnsi="Times New Roman" w:cs="Times New Roman"/>
          <w:color w:val="000000"/>
          <w:sz w:val="24"/>
          <w:szCs w:val="24"/>
        </w:rPr>
        <w:t xml:space="preserve"> увеличат</w:t>
      </w:r>
      <w:r w:rsidR="004F2315" w:rsidRPr="001E36A9">
        <w:rPr>
          <w:rFonts w:ascii="Times New Roman" w:hAnsi="Times New Roman" w:cs="Times New Roman"/>
          <w:color w:val="000000"/>
          <w:sz w:val="24"/>
          <w:szCs w:val="24"/>
        </w:rPr>
        <w:t xml:space="preserve"> с </w:t>
      </w:r>
      <w:r w:rsidR="0066193B">
        <w:rPr>
          <w:rFonts w:ascii="Times New Roman" w:hAnsi="Times New Roman" w:cs="Times New Roman"/>
          <w:color w:val="000000"/>
          <w:sz w:val="24"/>
          <w:szCs w:val="24"/>
        </w:rPr>
        <w:t>………</w:t>
      </w:r>
      <w:r w:rsidR="0042046D" w:rsidRPr="001E36A9">
        <w:rPr>
          <w:rFonts w:ascii="Times New Roman" w:hAnsi="Times New Roman" w:cs="Times New Roman"/>
          <w:color w:val="000000"/>
          <w:sz w:val="24"/>
          <w:szCs w:val="24"/>
        </w:rPr>
        <w:t xml:space="preserve"> </w:t>
      </w:r>
      <w:r w:rsidR="004F2315" w:rsidRPr="001E36A9">
        <w:rPr>
          <w:rFonts w:ascii="Times New Roman" w:hAnsi="Times New Roman" w:cs="Times New Roman"/>
          <w:color w:val="000000"/>
          <w:sz w:val="24"/>
          <w:szCs w:val="24"/>
        </w:rPr>
        <w:t>процент</w:t>
      </w:r>
      <w:r w:rsidR="0042046D" w:rsidRPr="001E36A9">
        <w:rPr>
          <w:rFonts w:ascii="Times New Roman" w:hAnsi="Times New Roman" w:cs="Times New Roman"/>
          <w:color w:val="000000"/>
          <w:sz w:val="24"/>
          <w:szCs w:val="24"/>
        </w:rPr>
        <w:t>а</w:t>
      </w:r>
      <w:r w:rsidR="004F2315" w:rsidRPr="001E36A9">
        <w:rPr>
          <w:rFonts w:ascii="Times New Roman" w:hAnsi="Times New Roman" w:cs="Times New Roman"/>
          <w:color w:val="000000"/>
          <w:sz w:val="24"/>
          <w:szCs w:val="24"/>
        </w:rPr>
        <w:t xml:space="preserve"> </w:t>
      </w:r>
      <w:r w:rsidR="00062746" w:rsidRPr="001E36A9">
        <w:rPr>
          <w:rFonts w:ascii="Times New Roman" w:hAnsi="Times New Roman" w:cs="Times New Roman"/>
          <w:sz w:val="24"/>
          <w:szCs w:val="24"/>
        </w:rPr>
        <w:t xml:space="preserve">считано от </w:t>
      </w:r>
      <w:r w:rsidR="0066193B">
        <w:rPr>
          <w:rFonts w:ascii="Times New Roman" w:hAnsi="Times New Roman" w:cs="Times New Roman"/>
          <w:sz w:val="24"/>
          <w:szCs w:val="24"/>
        </w:rPr>
        <w:t>………….</w:t>
      </w:r>
      <w:r w:rsidR="00062746" w:rsidRPr="001E36A9">
        <w:rPr>
          <w:rFonts w:ascii="Times New Roman" w:hAnsi="Times New Roman" w:cs="Times New Roman"/>
          <w:sz w:val="24"/>
          <w:szCs w:val="24"/>
        </w:rPr>
        <w:t xml:space="preserve"> г.</w:t>
      </w:r>
      <w:r w:rsidR="00E40998" w:rsidRPr="00885075">
        <w:t xml:space="preserve">  </w:t>
      </w:r>
    </w:p>
    <w:p w14:paraId="5DFDA49E" w14:textId="398CCEF0" w:rsidR="00D53243" w:rsidRPr="00A8412F" w:rsidRDefault="00D53243" w:rsidP="003D51C0">
      <w:pPr>
        <w:pStyle w:val="ListParagraph"/>
        <w:numPr>
          <w:ilvl w:val="1"/>
          <w:numId w:val="23"/>
        </w:numPr>
        <w:spacing w:after="120" w:line="240" w:lineRule="auto"/>
        <w:jc w:val="both"/>
        <w:rPr>
          <w:rFonts w:ascii="Times New Roman" w:eastAsia="Times New Roman" w:hAnsi="Times New Roman" w:cs="Times New Roman"/>
          <w:b/>
          <w:sz w:val="24"/>
          <w:szCs w:val="24"/>
          <w:lang w:eastAsia="bg-BG"/>
        </w:rPr>
      </w:pPr>
      <w:r w:rsidRPr="00A8412F">
        <w:rPr>
          <w:rFonts w:ascii="Times New Roman" w:eastAsia="Times New Roman" w:hAnsi="Times New Roman" w:cs="Times New Roman"/>
          <w:b/>
          <w:sz w:val="24"/>
          <w:szCs w:val="24"/>
          <w:lang w:eastAsia="bg-BG"/>
        </w:rPr>
        <w:t>Разходи, свързани със социални осигуровки и надбавки</w:t>
      </w:r>
    </w:p>
    <w:p w14:paraId="52366FF0" w14:textId="55A3DF71" w:rsidR="00D53243" w:rsidRDefault="00D53243" w:rsidP="003D51C0">
      <w:pPr>
        <w:spacing w:after="120" w:line="240" w:lineRule="auto"/>
        <w:jc w:val="both"/>
        <w:rPr>
          <w:rFonts w:ascii="Times New Roman" w:eastAsia="Times New Roman" w:hAnsi="Times New Roman" w:cs="Times New Roman"/>
          <w:sz w:val="24"/>
          <w:szCs w:val="24"/>
          <w:lang w:eastAsia="bg-BG"/>
        </w:rPr>
      </w:pPr>
      <w:r w:rsidRPr="00D53243">
        <w:rPr>
          <w:rFonts w:ascii="Times New Roman" w:eastAsia="Times New Roman" w:hAnsi="Times New Roman" w:cs="Times New Roman"/>
          <w:sz w:val="24"/>
          <w:szCs w:val="24"/>
          <w:lang w:eastAsia="bg-BG"/>
        </w:rPr>
        <w:t xml:space="preserve">Разходите свързани със социални осигуровки възлизат на </w:t>
      </w:r>
      <w:r w:rsidR="0066193B">
        <w:rPr>
          <w:rFonts w:ascii="Times New Roman" w:eastAsia="Times New Roman" w:hAnsi="Times New Roman" w:cs="Times New Roman"/>
          <w:sz w:val="24"/>
          <w:szCs w:val="24"/>
          <w:lang w:eastAsia="bg-BG"/>
        </w:rPr>
        <w:t>……….</w:t>
      </w:r>
      <w:r w:rsidR="009B1E41">
        <w:rPr>
          <w:rFonts w:ascii="Times New Roman" w:eastAsia="Times New Roman" w:hAnsi="Times New Roman" w:cs="Times New Roman"/>
          <w:sz w:val="24"/>
          <w:szCs w:val="24"/>
          <w:lang w:eastAsia="bg-BG"/>
        </w:rPr>
        <w:t>.</w:t>
      </w:r>
      <w:r w:rsidRPr="00D53243">
        <w:rPr>
          <w:rFonts w:ascii="Times New Roman" w:eastAsia="Times New Roman" w:hAnsi="Times New Roman" w:cs="Times New Roman"/>
          <w:b/>
          <w:sz w:val="24"/>
          <w:szCs w:val="24"/>
          <w:lang w:eastAsia="bg-BG"/>
        </w:rPr>
        <w:t xml:space="preserve"> хил.</w:t>
      </w:r>
      <w:r w:rsidR="009445FB">
        <w:rPr>
          <w:rFonts w:ascii="Times New Roman" w:eastAsia="Times New Roman" w:hAnsi="Times New Roman" w:cs="Times New Roman"/>
          <w:b/>
          <w:sz w:val="24"/>
          <w:szCs w:val="24"/>
          <w:lang w:eastAsia="bg-BG"/>
        </w:rPr>
        <w:t xml:space="preserve"> </w:t>
      </w:r>
      <w:r w:rsidRPr="00D53243">
        <w:rPr>
          <w:rFonts w:ascii="Times New Roman" w:eastAsia="Times New Roman" w:hAnsi="Times New Roman" w:cs="Times New Roman"/>
          <w:b/>
          <w:sz w:val="24"/>
          <w:szCs w:val="24"/>
          <w:lang w:eastAsia="bg-BG"/>
        </w:rPr>
        <w:t>лв</w:t>
      </w:r>
      <w:r w:rsidRPr="00D53243">
        <w:rPr>
          <w:rFonts w:ascii="Times New Roman" w:eastAsia="Times New Roman" w:hAnsi="Times New Roman" w:cs="Times New Roman"/>
          <w:sz w:val="24"/>
          <w:szCs w:val="24"/>
          <w:lang w:eastAsia="bg-BG"/>
        </w:rPr>
        <w:t>., като тяхната стойност е в съответствие с социално-осигурителното законодателство.</w:t>
      </w:r>
      <w:r w:rsidR="009445FB">
        <w:rPr>
          <w:rFonts w:ascii="Times New Roman" w:eastAsia="Times New Roman" w:hAnsi="Times New Roman" w:cs="Times New Roman"/>
          <w:sz w:val="24"/>
          <w:szCs w:val="24"/>
          <w:lang w:eastAsia="bg-BG"/>
        </w:rPr>
        <w:t xml:space="preserve"> Общата стойност на тези разходи също </w:t>
      </w:r>
      <w:r w:rsidR="00AA7D6E">
        <w:rPr>
          <w:rFonts w:ascii="Times New Roman" w:eastAsia="Times New Roman" w:hAnsi="Times New Roman" w:cs="Times New Roman"/>
          <w:sz w:val="24"/>
          <w:szCs w:val="24"/>
          <w:lang w:eastAsia="bg-BG"/>
        </w:rPr>
        <w:t xml:space="preserve">се увеличава </w:t>
      </w:r>
      <w:r w:rsidR="009445FB">
        <w:rPr>
          <w:rFonts w:ascii="Times New Roman" w:eastAsia="Times New Roman" w:hAnsi="Times New Roman" w:cs="Times New Roman"/>
          <w:sz w:val="24"/>
          <w:szCs w:val="24"/>
          <w:lang w:eastAsia="bg-BG"/>
        </w:rPr>
        <w:t>през новия регулаторен период</w:t>
      </w:r>
      <w:r w:rsidR="00AA7D6E">
        <w:rPr>
          <w:rFonts w:ascii="Times New Roman" w:eastAsia="Times New Roman" w:hAnsi="Times New Roman" w:cs="Times New Roman"/>
          <w:sz w:val="24"/>
          <w:szCs w:val="24"/>
          <w:lang w:eastAsia="bg-BG"/>
        </w:rPr>
        <w:t xml:space="preserve"> съобразно предвидения ръст на работните заплати</w:t>
      </w:r>
      <w:r w:rsidR="009445FB">
        <w:rPr>
          <w:rFonts w:ascii="Times New Roman" w:eastAsia="Times New Roman" w:hAnsi="Times New Roman" w:cs="Times New Roman"/>
          <w:sz w:val="24"/>
          <w:szCs w:val="24"/>
          <w:lang w:eastAsia="bg-BG"/>
        </w:rPr>
        <w:t>.</w:t>
      </w:r>
    </w:p>
    <w:p w14:paraId="48CD8EB9" w14:textId="6C2F7321" w:rsidR="00D53243" w:rsidRPr="00A8412F" w:rsidRDefault="009445FB" w:rsidP="003D51C0">
      <w:pPr>
        <w:pStyle w:val="ListParagraph"/>
        <w:numPr>
          <w:ilvl w:val="1"/>
          <w:numId w:val="23"/>
        </w:numPr>
        <w:spacing w:after="120" w:line="240" w:lineRule="auto"/>
        <w:jc w:val="both"/>
        <w:rPr>
          <w:rFonts w:ascii="Times New Roman" w:eastAsia="Times New Roman" w:hAnsi="Times New Roman" w:cs="Times New Roman"/>
          <w:b/>
          <w:sz w:val="24"/>
          <w:szCs w:val="24"/>
          <w:lang w:eastAsia="bg-BG"/>
        </w:rPr>
      </w:pPr>
      <w:r w:rsidRPr="00A8412F">
        <w:rPr>
          <w:rFonts w:ascii="Times New Roman" w:eastAsia="Times New Roman" w:hAnsi="Times New Roman" w:cs="Times New Roman"/>
          <w:b/>
          <w:sz w:val="24"/>
          <w:szCs w:val="24"/>
          <w:lang w:eastAsia="bg-BG"/>
        </w:rPr>
        <w:t xml:space="preserve"> </w:t>
      </w:r>
      <w:r w:rsidR="00D53243" w:rsidRPr="00A8412F">
        <w:rPr>
          <w:rFonts w:ascii="Times New Roman" w:eastAsia="Times New Roman" w:hAnsi="Times New Roman" w:cs="Times New Roman"/>
          <w:b/>
          <w:sz w:val="24"/>
          <w:szCs w:val="24"/>
          <w:lang w:eastAsia="bg-BG"/>
        </w:rPr>
        <w:t>Разходи за амортизации</w:t>
      </w:r>
    </w:p>
    <w:p w14:paraId="5C59DD36" w14:textId="7E6574D5" w:rsidR="00D53243" w:rsidRPr="00D53243" w:rsidRDefault="00D53243">
      <w:pPr>
        <w:autoSpaceDE w:val="0"/>
        <w:autoSpaceDN w:val="0"/>
        <w:adjustRightInd w:val="0"/>
        <w:spacing w:after="120" w:line="240" w:lineRule="auto"/>
        <w:jc w:val="both"/>
        <w:rPr>
          <w:rFonts w:ascii="Times New Roman" w:eastAsia="Times New Roman" w:hAnsi="Times New Roman" w:cs="Times New Roman"/>
          <w:sz w:val="24"/>
          <w:szCs w:val="24"/>
          <w:lang w:eastAsia="bg-BG"/>
        </w:rPr>
      </w:pPr>
      <w:r w:rsidRPr="00D53243">
        <w:rPr>
          <w:rFonts w:ascii="Times New Roman" w:eastAsia="Times New Roman" w:hAnsi="Times New Roman" w:cs="Times New Roman"/>
          <w:sz w:val="24"/>
          <w:szCs w:val="24"/>
          <w:lang w:eastAsia="bg-BG"/>
        </w:rPr>
        <w:t>Планираните разходи за амортизации през новия ценови период възлизат на</w:t>
      </w:r>
      <w:r w:rsidR="00DC5311">
        <w:rPr>
          <w:rFonts w:ascii="Times New Roman" w:eastAsia="Times New Roman" w:hAnsi="Times New Roman" w:cs="Times New Roman"/>
          <w:sz w:val="24"/>
          <w:szCs w:val="24"/>
          <w:lang w:eastAsia="bg-BG"/>
        </w:rPr>
        <w:t xml:space="preserve"> ………….</w:t>
      </w:r>
      <w:r w:rsidRPr="006E19B2">
        <w:rPr>
          <w:rFonts w:ascii="Times New Roman" w:eastAsia="Times New Roman" w:hAnsi="Times New Roman" w:cs="Times New Roman"/>
          <w:b/>
          <w:sz w:val="24"/>
          <w:szCs w:val="24"/>
          <w:lang w:eastAsia="bg-BG"/>
        </w:rPr>
        <w:t xml:space="preserve"> хил.</w:t>
      </w:r>
      <w:r w:rsidR="009445FB" w:rsidRPr="006E19B2">
        <w:rPr>
          <w:rFonts w:ascii="Times New Roman" w:eastAsia="Times New Roman" w:hAnsi="Times New Roman" w:cs="Times New Roman"/>
          <w:b/>
          <w:sz w:val="24"/>
          <w:szCs w:val="24"/>
          <w:lang w:eastAsia="bg-BG"/>
        </w:rPr>
        <w:t xml:space="preserve"> </w:t>
      </w:r>
      <w:r w:rsidRPr="006E19B2">
        <w:rPr>
          <w:rFonts w:ascii="Times New Roman" w:eastAsia="Times New Roman" w:hAnsi="Times New Roman" w:cs="Times New Roman"/>
          <w:b/>
          <w:sz w:val="24"/>
          <w:szCs w:val="24"/>
          <w:lang w:eastAsia="bg-BG"/>
        </w:rPr>
        <w:t>лв.</w:t>
      </w:r>
      <w:r w:rsidRPr="00A625D1">
        <w:rPr>
          <w:rFonts w:ascii="Times New Roman" w:eastAsia="Times New Roman" w:hAnsi="Times New Roman" w:cs="Times New Roman"/>
          <w:sz w:val="24"/>
          <w:szCs w:val="24"/>
          <w:lang w:eastAsia="bg-BG"/>
        </w:rPr>
        <w:t xml:space="preserve"> </w:t>
      </w:r>
      <w:r w:rsidR="009445FB" w:rsidRPr="00A625D1">
        <w:rPr>
          <w:rFonts w:ascii="Times New Roman" w:eastAsia="Times New Roman" w:hAnsi="Times New Roman" w:cs="Times New Roman"/>
          <w:sz w:val="24"/>
          <w:szCs w:val="24"/>
          <w:lang w:eastAsia="bg-BG"/>
        </w:rPr>
        <w:t>П</w:t>
      </w:r>
      <w:r w:rsidRPr="00A625D1">
        <w:rPr>
          <w:rFonts w:ascii="Times New Roman" w:eastAsia="Times New Roman" w:hAnsi="Times New Roman" w:cs="Times New Roman"/>
          <w:sz w:val="24"/>
          <w:szCs w:val="24"/>
          <w:lang w:eastAsia="bg-BG"/>
        </w:rPr>
        <w:t>риложимата счетоводна политика за тяхното отчитане е съобразена с изискванията на КЕВР за прилагане на линеен метод на амортизация, спрямо полезния живот на активите</w:t>
      </w:r>
      <w:r w:rsidRPr="00D53243">
        <w:rPr>
          <w:rFonts w:ascii="Times New Roman" w:eastAsia="Times New Roman" w:hAnsi="Times New Roman" w:cs="Times New Roman"/>
          <w:b/>
          <w:sz w:val="24"/>
          <w:szCs w:val="24"/>
          <w:lang w:eastAsia="bg-BG"/>
        </w:rPr>
        <w:t>.</w:t>
      </w:r>
      <w:r w:rsidRPr="00D53243">
        <w:rPr>
          <w:rFonts w:ascii="Times New Roman" w:eastAsia="Times New Roman" w:hAnsi="Times New Roman" w:cs="Times New Roman"/>
          <w:sz w:val="24"/>
          <w:szCs w:val="24"/>
          <w:lang w:eastAsia="bg-BG"/>
        </w:rPr>
        <w:t xml:space="preserve"> Амортизацията на имоти, машини и съоръжения се изчислява, като се използва линейният метод върху оценения полезен живот на отделните групи активи, както следва:</w:t>
      </w:r>
    </w:p>
    <w:tbl>
      <w:tblPr>
        <w:tblW w:w="4554" w:type="pct"/>
        <w:tblInd w:w="708" w:type="dxa"/>
        <w:tblCellMar>
          <w:left w:w="0" w:type="dxa"/>
          <w:right w:w="0" w:type="dxa"/>
        </w:tblCellMar>
        <w:tblLook w:val="0000" w:firstRow="0" w:lastRow="0" w:firstColumn="0" w:lastColumn="0" w:noHBand="0" w:noVBand="0"/>
      </w:tblPr>
      <w:tblGrid>
        <w:gridCol w:w="6174"/>
        <w:gridCol w:w="2089"/>
      </w:tblGrid>
      <w:tr w:rsidR="00D53243" w:rsidRPr="00D53243" w14:paraId="2FF8812D" w14:textId="77777777" w:rsidTr="00084410">
        <w:trPr>
          <w:trHeight w:hRule="exact" w:val="284"/>
        </w:trPr>
        <w:tc>
          <w:tcPr>
            <w:tcW w:w="3736" w:type="pct"/>
            <w:vAlign w:val="bottom"/>
          </w:tcPr>
          <w:p w14:paraId="7E88405F" w14:textId="77777777" w:rsidR="00D53243" w:rsidRPr="00D53243" w:rsidRDefault="00D53243">
            <w:pPr>
              <w:snapToGrid w:val="0"/>
              <w:spacing w:after="0" w:line="240" w:lineRule="auto"/>
              <w:jc w:val="both"/>
              <w:rPr>
                <w:rFonts w:ascii="Times New Roman" w:eastAsia="Times New Roman" w:hAnsi="Times New Roman" w:cs="Times New Roman"/>
                <w:sz w:val="24"/>
                <w:szCs w:val="24"/>
                <w:shd w:val="clear" w:color="auto" w:fill="FFFFFF"/>
              </w:rPr>
            </w:pPr>
            <w:r w:rsidRPr="00D53243">
              <w:rPr>
                <w:rFonts w:ascii="Times New Roman" w:eastAsia="Times New Roman" w:hAnsi="Times New Roman" w:cs="Times New Roman"/>
                <w:sz w:val="24"/>
                <w:szCs w:val="24"/>
                <w:shd w:val="clear" w:color="auto" w:fill="FFFFFF"/>
              </w:rPr>
              <w:t>Сгради</w:t>
            </w:r>
          </w:p>
        </w:tc>
        <w:tc>
          <w:tcPr>
            <w:tcW w:w="1264" w:type="pct"/>
            <w:vAlign w:val="bottom"/>
          </w:tcPr>
          <w:p w14:paraId="4C1A81F5" w14:textId="77777777" w:rsidR="00D53243" w:rsidRPr="00D53243" w:rsidRDefault="00D53243">
            <w:pPr>
              <w:snapToGrid w:val="0"/>
              <w:spacing w:after="0" w:line="240" w:lineRule="auto"/>
              <w:ind w:right="165"/>
              <w:jc w:val="right"/>
              <w:rPr>
                <w:rFonts w:ascii="Times New Roman" w:eastAsia="Times New Roman" w:hAnsi="Times New Roman" w:cs="Times New Roman"/>
                <w:b/>
                <w:bCs/>
                <w:sz w:val="24"/>
                <w:szCs w:val="24"/>
                <w:shd w:val="clear" w:color="auto" w:fill="FFFFFF"/>
                <w:lang w:eastAsia="bg-BG"/>
              </w:rPr>
            </w:pPr>
            <w:r w:rsidRPr="00D53243">
              <w:rPr>
                <w:rFonts w:ascii="Times New Roman" w:eastAsia="Times New Roman" w:hAnsi="Times New Roman" w:cs="Times New Roman"/>
                <w:sz w:val="24"/>
                <w:szCs w:val="24"/>
                <w:shd w:val="clear" w:color="auto" w:fill="FFFFFF"/>
                <w:lang w:eastAsia="bg-BG"/>
              </w:rPr>
              <w:t>10-25 години</w:t>
            </w:r>
          </w:p>
        </w:tc>
      </w:tr>
      <w:tr w:rsidR="00D53243" w:rsidRPr="00D53243" w14:paraId="57C8F535" w14:textId="77777777" w:rsidTr="00084410">
        <w:trPr>
          <w:trHeight w:hRule="exact" w:val="284"/>
        </w:trPr>
        <w:tc>
          <w:tcPr>
            <w:tcW w:w="3736" w:type="pct"/>
            <w:vAlign w:val="bottom"/>
          </w:tcPr>
          <w:p w14:paraId="6B8067C6" w14:textId="77777777" w:rsidR="00D53243" w:rsidRPr="00D53243" w:rsidRDefault="00D53243" w:rsidP="003D51C0">
            <w:pPr>
              <w:snapToGrid w:val="0"/>
              <w:spacing w:after="0" w:line="240" w:lineRule="auto"/>
              <w:rPr>
                <w:rFonts w:ascii="Times New Roman" w:eastAsia="Times New Roman" w:hAnsi="Times New Roman" w:cs="Times New Roman"/>
                <w:sz w:val="24"/>
                <w:szCs w:val="24"/>
                <w:shd w:val="clear" w:color="auto" w:fill="FFFFFF"/>
                <w:lang w:eastAsia="bg-BG"/>
              </w:rPr>
            </w:pPr>
            <w:r w:rsidRPr="00D53243">
              <w:rPr>
                <w:rFonts w:ascii="Times New Roman" w:eastAsia="Times New Roman" w:hAnsi="Times New Roman" w:cs="Times New Roman"/>
                <w:sz w:val="24"/>
                <w:szCs w:val="24"/>
                <w:shd w:val="clear" w:color="auto" w:fill="FFFFFF"/>
                <w:lang w:eastAsia="bg-BG"/>
              </w:rPr>
              <w:t>Машини, съоръжения и оборудване</w:t>
            </w:r>
          </w:p>
        </w:tc>
        <w:tc>
          <w:tcPr>
            <w:tcW w:w="1264" w:type="pct"/>
            <w:vAlign w:val="bottom"/>
          </w:tcPr>
          <w:p w14:paraId="3819FB42" w14:textId="77777777" w:rsidR="00D53243" w:rsidRPr="00D53243" w:rsidRDefault="00D53243" w:rsidP="003D51C0">
            <w:pPr>
              <w:snapToGrid w:val="0"/>
              <w:spacing w:after="0" w:line="240" w:lineRule="auto"/>
              <w:ind w:right="165"/>
              <w:jc w:val="right"/>
              <w:rPr>
                <w:rFonts w:ascii="Times New Roman" w:eastAsia="Times New Roman" w:hAnsi="Times New Roman" w:cs="Times New Roman"/>
                <w:sz w:val="24"/>
                <w:szCs w:val="24"/>
                <w:shd w:val="clear" w:color="auto" w:fill="FFFFFF"/>
                <w:lang w:eastAsia="bg-BG"/>
              </w:rPr>
            </w:pPr>
            <w:r w:rsidRPr="00D53243">
              <w:rPr>
                <w:rFonts w:ascii="Times New Roman" w:eastAsia="Times New Roman" w:hAnsi="Times New Roman" w:cs="Times New Roman"/>
                <w:sz w:val="24"/>
                <w:szCs w:val="24"/>
                <w:shd w:val="clear" w:color="auto" w:fill="FFFFFF"/>
                <w:lang w:eastAsia="bg-BG"/>
              </w:rPr>
              <w:t>2-25 години</w:t>
            </w:r>
          </w:p>
        </w:tc>
      </w:tr>
      <w:tr w:rsidR="00D53243" w:rsidRPr="00D53243" w14:paraId="73C33A64" w14:textId="77777777" w:rsidTr="00084410">
        <w:trPr>
          <w:trHeight w:hRule="exact" w:val="284"/>
        </w:trPr>
        <w:tc>
          <w:tcPr>
            <w:tcW w:w="3736" w:type="pct"/>
            <w:vAlign w:val="bottom"/>
          </w:tcPr>
          <w:p w14:paraId="5373D11D" w14:textId="77777777" w:rsidR="00D53243" w:rsidRPr="00D53243" w:rsidRDefault="00D53243" w:rsidP="003D51C0">
            <w:pPr>
              <w:snapToGrid w:val="0"/>
              <w:spacing w:after="0" w:line="240" w:lineRule="auto"/>
              <w:rPr>
                <w:rFonts w:ascii="Times New Roman" w:eastAsia="Times New Roman" w:hAnsi="Times New Roman" w:cs="Times New Roman"/>
                <w:sz w:val="24"/>
                <w:szCs w:val="24"/>
                <w:shd w:val="clear" w:color="auto" w:fill="FFFFFF"/>
                <w:lang w:eastAsia="bg-BG"/>
              </w:rPr>
            </w:pPr>
            <w:r w:rsidRPr="00D53243">
              <w:rPr>
                <w:rFonts w:ascii="Times New Roman" w:eastAsia="Times New Roman" w:hAnsi="Times New Roman" w:cs="Times New Roman"/>
                <w:sz w:val="24"/>
                <w:szCs w:val="24"/>
                <w:shd w:val="clear" w:color="auto" w:fill="FFFFFF"/>
                <w:lang w:eastAsia="bg-BG"/>
              </w:rPr>
              <w:t>Транспортни средства</w:t>
            </w:r>
          </w:p>
        </w:tc>
        <w:tc>
          <w:tcPr>
            <w:tcW w:w="1264" w:type="pct"/>
            <w:vAlign w:val="bottom"/>
          </w:tcPr>
          <w:p w14:paraId="1D2A1DBA" w14:textId="77777777" w:rsidR="00D53243" w:rsidRPr="00D53243" w:rsidRDefault="00D53243" w:rsidP="003D51C0">
            <w:pPr>
              <w:snapToGrid w:val="0"/>
              <w:spacing w:after="0" w:line="240" w:lineRule="auto"/>
              <w:ind w:right="165"/>
              <w:jc w:val="right"/>
              <w:rPr>
                <w:rFonts w:ascii="Times New Roman" w:eastAsia="Times New Roman" w:hAnsi="Times New Roman" w:cs="Times New Roman"/>
                <w:sz w:val="24"/>
                <w:szCs w:val="24"/>
                <w:shd w:val="clear" w:color="auto" w:fill="FFFFFF"/>
                <w:lang w:eastAsia="bg-BG"/>
              </w:rPr>
            </w:pPr>
            <w:r w:rsidRPr="00D53243">
              <w:rPr>
                <w:rFonts w:ascii="Times New Roman" w:eastAsia="Times New Roman" w:hAnsi="Times New Roman" w:cs="Times New Roman"/>
                <w:sz w:val="24"/>
                <w:szCs w:val="24"/>
                <w:shd w:val="clear" w:color="auto" w:fill="FFFFFF"/>
                <w:lang w:eastAsia="bg-BG"/>
              </w:rPr>
              <w:t>4-15 години</w:t>
            </w:r>
          </w:p>
        </w:tc>
      </w:tr>
      <w:tr w:rsidR="00D53243" w:rsidRPr="00D53243" w14:paraId="6C87E9D3" w14:textId="77777777" w:rsidTr="00084410">
        <w:trPr>
          <w:trHeight w:hRule="exact" w:val="310"/>
        </w:trPr>
        <w:tc>
          <w:tcPr>
            <w:tcW w:w="3736" w:type="pct"/>
            <w:vAlign w:val="bottom"/>
          </w:tcPr>
          <w:p w14:paraId="23A3F5A8" w14:textId="77777777" w:rsidR="00D53243" w:rsidRPr="00D53243" w:rsidRDefault="00D53243" w:rsidP="003D51C0">
            <w:pPr>
              <w:snapToGrid w:val="0"/>
              <w:spacing w:after="0" w:line="240" w:lineRule="auto"/>
              <w:rPr>
                <w:rFonts w:ascii="Times New Roman" w:eastAsia="Times New Roman" w:hAnsi="Times New Roman" w:cs="Times New Roman"/>
                <w:sz w:val="24"/>
                <w:szCs w:val="24"/>
                <w:shd w:val="clear" w:color="auto" w:fill="FFFFFF"/>
                <w:lang w:eastAsia="bg-BG"/>
              </w:rPr>
            </w:pPr>
            <w:r w:rsidRPr="00D53243">
              <w:rPr>
                <w:rFonts w:ascii="Times New Roman" w:eastAsia="Times New Roman" w:hAnsi="Times New Roman" w:cs="Times New Roman"/>
                <w:sz w:val="24"/>
                <w:szCs w:val="24"/>
                <w:lang w:eastAsia="bg-BG"/>
              </w:rPr>
              <w:t>Други амортизируеми дълготрайни активи</w:t>
            </w:r>
          </w:p>
        </w:tc>
        <w:tc>
          <w:tcPr>
            <w:tcW w:w="1264" w:type="pct"/>
            <w:vAlign w:val="bottom"/>
          </w:tcPr>
          <w:p w14:paraId="6413F416" w14:textId="77777777" w:rsidR="00D53243" w:rsidRPr="00D53243" w:rsidRDefault="00D53243" w:rsidP="003D51C0">
            <w:pPr>
              <w:snapToGrid w:val="0"/>
              <w:spacing w:after="0" w:line="240" w:lineRule="auto"/>
              <w:ind w:right="165"/>
              <w:jc w:val="right"/>
              <w:rPr>
                <w:rFonts w:ascii="Times New Roman" w:eastAsia="Times New Roman" w:hAnsi="Times New Roman" w:cs="Times New Roman"/>
                <w:sz w:val="24"/>
                <w:szCs w:val="24"/>
                <w:shd w:val="clear" w:color="auto" w:fill="FFFFFF"/>
                <w:lang w:eastAsia="bg-BG"/>
              </w:rPr>
            </w:pPr>
            <w:r w:rsidRPr="00D53243">
              <w:rPr>
                <w:rFonts w:ascii="Times New Roman" w:eastAsia="Times New Roman" w:hAnsi="Times New Roman" w:cs="Times New Roman"/>
                <w:sz w:val="24"/>
                <w:szCs w:val="24"/>
                <w:shd w:val="clear" w:color="auto" w:fill="FFFFFF"/>
                <w:lang w:eastAsia="bg-BG"/>
              </w:rPr>
              <w:t>2-7 години</w:t>
            </w:r>
          </w:p>
        </w:tc>
      </w:tr>
    </w:tbl>
    <w:p w14:paraId="44B92948" w14:textId="08D9A080" w:rsidR="0084275F" w:rsidRDefault="0084275F" w:rsidP="003D51C0">
      <w:pPr>
        <w:spacing w:after="120" w:line="240" w:lineRule="auto"/>
        <w:jc w:val="both"/>
        <w:rPr>
          <w:rFonts w:ascii="Times New Roman" w:eastAsia="Times New Roman" w:hAnsi="Times New Roman" w:cs="Times New Roman"/>
          <w:b/>
          <w:sz w:val="24"/>
          <w:szCs w:val="24"/>
          <w:lang w:eastAsia="bg-BG"/>
        </w:rPr>
      </w:pPr>
    </w:p>
    <w:p w14:paraId="1FEF0593" w14:textId="573CE050" w:rsidR="00993013" w:rsidRDefault="00993013" w:rsidP="003D51C0">
      <w:pPr>
        <w:spacing w:after="120" w:line="240" w:lineRule="auto"/>
        <w:jc w:val="both"/>
        <w:rPr>
          <w:rFonts w:ascii="Times New Roman" w:eastAsia="Times New Roman" w:hAnsi="Times New Roman" w:cs="Times New Roman"/>
          <w:sz w:val="24"/>
          <w:szCs w:val="24"/>
          <w:lang w:eastAsia="bg-BG"/>
        </w:rPr>
      </w:pPr>
      <w:r w:rsidRPr="00292EED">
        <w:rPr>
          <w:rFonts w:ascii="Times New Roman" w:eastAsia="Times New Roman" w:hAnsi="Times New Roman" w:cs="Times New Roman"/>
          <w:sz w:val="24"/>
          <w:szCs w:val="24"/>
          <w:lang w:eastAsia="bg-BG"/>
        </w:rPr>
        <w:t>При определяне на прогнозния размер на разходите за амортизации са отчетени амортизациите на съществуващите активи, както и предвидените увеличения в резултат на изпълнението на одобрената инвестиционна програма</w:t>
      </w:r>
      <w:r>
        <w:rPr>
          <w:rFonts w:ascii="Times New Roman" w:eastAsia="Times New Roman" w:hAnsi="Times New Roman" w:cs="Times New Roman"/>
          <w:sz w:val="24"/>
          <w:szCs w:val="24"/>
          <w:lang w:eastAsia="bg-BG"/>
        </w:rPr>
        <w:t>, приложена към заявлението.</w:t>
      </w:r>
    </w:p>
    <w:p w14:paraId="55764BCE" w14:textId="4B50FAFC" w:rsidR="003D51C0" w:rsidRDefault="003D51C0" w:rsidP="003D51C0">
      <w:pPr>
        <w:spacing w:after="12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В разходите за амортизация и при определяне на регулаторната база на активите са използвани стойностите на активите към момента на подаване на заявлението. Съгласно счетоводната политика на БЕХ Групата дружествата следва да извършват преоценка на активите най-малко на всеки </w:t>
      </w:r>
      <w:r w:rsidR="00DC5311">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 xml:space="preserve"> години. За </w:t>
      </w:r>
      <w:r w:rsidR="00DC5311">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г. предстои извършване на преоценка от избран независим оценител, резултатите от която все още не са налични</w:t>
      </w:r>
      <w:r w:rsidR="004B4750">
        <w:rPr>
          <w:rFonts w:ascii="Times New Roman" w:eastAsia="Times New Roman" w:hAnsi="Times New Roman" w:cs="Times New Roman"/>
          <w:sz w:val="24"/>
          <w:szCs w:val="24"/>
          <w:lang w:eastAsia="bg-BG"/>
        </w:rPr>
        <w:t xml:space="preserve">, което може да доведе до промяна на стойностите на активите и на амортизационните отчисления. </w:t>
      </w:r>
    </w:p>
    <w:p w14:paraId="2798CA3D" w14:textId="77777777" w:rsidR="003D51C0" w:rsidRPr="00292EED" w:rsidRDefault="003D51C0" w:rsidP="003D51C0">
      <w:pPr>
        <w:spacing w:after="120" w:line="240" w:lineRule="auto"/>
        <w:jc w:val="both"/>
        <w:rPr>
          <w:rFonts w:ascii="Times New Roman" w:eastAsia="Times New Roman" w:hAnsi="Times New Roman" w:cs="Times New Roman"/>
          <w:sz w:val="24"/>
          <w:szCs w:val="24"/>
          <w:lang w:eastAsia="bg-BG"/>
        </w:rPr>
      </w:pPr>
    </w:p>
    <w:p w14:paraId="615E3B36" w14:textId="4BC1E4EB" w:rsidR="009445FB" w:rsidRPr="00A8412F" w:rsidRDefault="00800C45" w:rsidP="003D51C0">
      <w:pPr>
        <w:pStyle w:val="ListParagraph"/>
        <w:numPr>
          <w:ilvl w:val="1"/>
          <w:numId w:val="23"/>
        </w:numPr>
        <w:spacing w:after="120" w:line="240" w:lineRule="auto"/>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 xml:space="preserve"> </w:t>
      </w:r>
      <w:r w:rsidR="009445FB" w:rsidRPr="00A8412F">
        <w:rPr>
          <w:rFonts w:ascii="Times New Roman" w:eastAsia="Times New Roman" w:hAnsi="Times New Roman" w:cs="Times New Roman"/>
          <w:b/>
          <w:sz w:val="24"/>
          <w:szCs w:val="24"/>
          <w:lang w:eastAsia="bg-BG"/>
        </w:rPr>
        <w:t>Разходи за ремонт</w:t>
      </w:r>
    </w:p>
    <w:p w14:paraId="18EE2474" w14:textId="0D07536D" w:rsidR="009445FB" w:rsidRDefault="009445FB" w:rsidP="004B4750">
      <w:pPr>
        <w:spacing w:after="12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Ремонтната програма за новия регулаторен период</w:t>
      </w:r>
      <w:r w:rsidRPr="009445FB">
        <w:rPr>
          <w:rFonts w:ascii="Times New Roman" w:eastAsia="Times New Roman" w:hAnsi="Times New Roman" w:cs="Times New Roman"/>
          <w:sz w:val="24"/>
          <w:szCs w:val="24"/>
          <w:lang w:eastAsia="bg-BG"/>
        </w:rPr>
        <w:t xml:space="preserve"> е на стойност </w:t>
      </w:r>
      <w:r w:rsidR="00DC5311">
        <w:rPr>
          <w:rFonts w:ascii="Times New Roman" w:eastAsia="Times New Roman" w:hAnsi="Times New Roman" w:cs="Times New Roman"/>
          <w:sz w:val="24"/>
          <w:szCs w:val="24"/>
          <w:lang w:eastAsia="bg-BG"/>
        </w:rPr>
        <w:t>………….</w:t>
      </w:r>
      <w:r w:rsidRPr="009445FB">
        <w:rPr>
          <w:rFonts w:ascii="Times New Roman" w:eastAsia="Times New Roman" w:hAnsi="Times New Roman" w:cs="Times New Roman"/>
          <w:b/>
          <w:sz w:val="24"/>
          <w:szCs w:val="24"/>
          <w:lang w:eastAsia="bg-BG"/>
        </w:rPr>
        <w:t xml:space="preserve"> </w:t>
      </w:r>
      <w:proofErr w:type="spellStart"/>
      <w:r w:rsidRPr="009445FB">
        <w:rPr>
          <w:rFonts w:ascii="Times New Roman" w:eastAsia="Times New Roman" w:hAnsi="Times New Roman" w:cs="Times New Roman"/>
          <w:b/>
          <w:sz w:val="24"/>
          <w:szCs w:val="24"/>
          <w:lang w:eastAsia="bg-BG"/>
        </w:rPr>
        <w:t>хил.лв</w:t>
      </w:r>
      <w:proofErr w:type="spellEnd"/>
      <w:r w:rsidRPr="009445FB">
        <w:rPr>
          <w:rFonts w:ascii="Times New Roman" w:eastAsia="Times New Roman" w:hAnsi="Times New Roman" w:cs="Times New Roman"/>
          <w:sz w:val="24"/>
          <w:szCs w:val="24"/>
          <w:lang w:eastAsia="bg-BG"/>
        </w:rPr>
        <w:t xml:space="preserve">. </w:t>
      </w:r>
    </w:p>
    <w:p w14:paraId="2B6DE7B1" w14:textId="5A2D1FEB" w:rsidR="009445FB" w:rsidRDefault="00AC2130">
      <w:pPr>
        <w:spacing w:after="12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Детайлна информация за разходите включени в ремонтната програма на „ТЕЦ Марица изток 2“ ЕАД е представена в отделно приложение към заявлението.</w:t>
      </w:r>
    </w:p>
    <w:p w14:paraId="325E4AFE" w14:textId="5504D751" w:rsidR="009445FB" w:rsidRPr="00A8412F" w:rsidRDefault="009445FB">
      <w:pPr>
        <w:pStyle w:val="ListParagraph"/>
        <w:numPr>
          <w:ilvl w:val="1"/>
          <w:numId w:val="23"/>
        </w:numPr>
        <w:spacing w:after="120" w:line="240" w:lineRule="auto"/>
        <w:jc w:val="both"/>
        <w:rPr>
          <w:rFonts w:ascii="Times New Roman" w:eastAsia="Times New Roman" w:hAnsi="Times New Roman" w:cs="Times New Roman"/>
          <w:b/>
          <w:sz w:val="24"/>
          <w:szCs w:val="24"/>
          <w:lang w:eastAsia="bg-BG"/>
        </w:rPr>
      </w:pPr>
      <w:r w:rsidRPr="00A8412F">
        <w:rPr>
          <w:rFonts w:ascii="Times New Roman" w:eastAsia="Times New Roman" w:hAnsi="Times New Roman" w:cs="Times New Roman"/>
          <w:b/>
          <w:sz w:val="24"/>
          <w:szCs w:val="24"/>
          <w:lang w:eastAsia="bg-BG"/>
        </w:rPr>
        <w:t xml:space="preserve"> Разходи, пряко свързани с дейността на лицензията</w:t>
      </w:r>
    </w:p>
    <w:p w14:paraId="6A18C4A7" w14:textId="0E10A986" w:rsidR="0006500E" w:rsidRDefault="009445FB">
      <w:pPr>
        <w:spacing w:after="120" w:line="240" w:lineRule="auto"/>
        <w:jc w:val="both"/>
        <w:rPr>
          <w:rFonts w:ascii="Times New Roman" w:eastAsia="Times New Roman" w:hAnsi="Times New Roman" w:cs="Times New Roman"/>
          <w:sz w:val="24"/>
          <w:szCs w:val="24"/>
          <w:lang w:eastAsia="bg-BG"/>
        </w:rPr>
      </w:pPr>
      <w:r w:rsidRPr="009445FB">
        <w:rPr>
          <w:rFonts w:ascii="Times New Roman" w:eastAsia="Times New Roman" w:hAnsi="Times New Roman" w:cs="Times New Roman"/>
          <w:sz w:val="24"/>
          <w:szCs w:val="24"/>
          <w:lang w:eastAsia="bg-BG"/>
        </w:rPr>
        <w:t xml:space="preserve">Планираните разходи за новия ценови период възлизат на </w:t>
      </w:r>
      <w:r w:rsidR="00DC5311">
        <w:rPr>
          <w:rFonts w:ascii="Times New Roman" w:eastAsia="Times New Roman" w:hAnsi="Times New Roman" w:cs="Times New Roman"/>
          <w:sz w:val="24"/>
          <w:szCs w:val="24"/>
          <w:lang w:eastAsia="bg-BG"/>
        </w:rPr>
        <w:t>………..</w:t>
      </w:r>
      <w:r w:rsidRPr="009445FB">
        <w:rPr>
          <w:rFonts w:ascii="Times New Roman" w:eastAsia="Times New Roman" w:hAnsi="Times New Roman" w:cs="Times New Roman"/>
          <w:b/>
          <w:sz w:val="24"/>
          <w:szCs w:val="24"/>
          <w:lang w:eastAsia="bg-BG"/>
        </w:rPr>
        <w:t xml:space="preserve"> хил. лв</w:t>
      </w:r>
      <w:r w:rsidR="0006500E">
        <w:rPr>
          <w:rFonts w:ascii="Times New Roman" w:eastAsia="Times New Roman" w:hAnsi="Times New Roman" w:cs="Times New Roman"/>
          <w:sz w:val="24"/>
          <w:szCs w:val="24"/>
          <w:lang w:eastAsia="bg-BG"/>
        </w:rPr>
        <w:t xml:space="preserve">. и </w:t>
      </w:r>
      <w:r w:rsidR="00F64303">
        <w:rPr>
          <w:rFonts w:ascii="Times New Roman" w:eastAsia="Times New Roman" w:hAnsi="Times New Roman" w:cs="Times New Roman"/>
          <w:sz w:val="24"/>
          <w:szCs w:val="24"/>
          <w:lang w:eastAsia="bg-BG"/>
        </w:rPr>
        <w:t>намаляват</w:t>
      </w:r>
      <w:r w:rsidR="005B1FDA">
        <w:rPr>
          <w:rFonts w:ascii="Times New Roman" w:eastAsia="Times New Roman" w:hAnsi="Times New Roman" w:cs="Times New Roman"/>
          <w:sz w:val="24"/>
          <w:szCs w:val="24"/>
          <w:lang w:eastAsia="bg-BG"/>
        </w:rPr>
        <w:t xml:space="preserve"> с </w:t>
      </w:r>
      <w:r w:rsidR="00DC5311">
        <w:rPr>
          <w:rFonts w:ascii="Times New Roman" w:eastAsia="Times New Roman" w:hAnsi="Times New Roman" w:cs="Times New Roman"/>
          <w:sz w:val="24"/>
          <w:szCs w:val="24"/>
          <w:lang w:eastAsia="bg-BG"/>
        </w:rPr>
        <w:t>……..</w:t>
      </w:r>
      <w:r w:rsidR="005B1FDA">
        <w:rPr>
          <w:rFonts w:ascii="Times New Roman" w:eastAsia="Times New Roman" w:hAnsi="Times New Roman" w:cs="Times New Roman"/>
          <w:sz w:val="24"/>
          <w:szCs w:val="24"/>
          <w:lang w:eastAsia="bg-BG"/>
        </w:rPr>
        <w:t xml:space="preserve">% спрямо отчетените за </w:t>
      </w:r>
      <w:r w:rsidR="00DC5311">
        <w:rPr>
          <w:rFonts w:ascii="Times New Roman" w:eastAsia="Times New Roman" w:hAnsi="Times New Roman" w:cs="Times New Roman"/>
          <w:sz w:val="24"/>
          <w:szCs w:val="24"/>
          <w:lang w:eastAsia="bg-BG"/>
        </w:rPr>
        <w:t>……..</w:t>
      </w:r>
      <w:r w:rsidR="000E3418">
        <w:rPr>
          <w:rFonts w:ascii="Times New Roman" w:eastAsia="Times New Roman" w:hAnsi="Times New Roman" w:cs="Times New Roman"/>
          <w:sz w:val="24"/>
          <w:szCs w:val="24"/>
          <w:lang w:eastAsia="bg-BG"/>
        </w:rPr>
        <w:t xml:space="preserve"> г. При изчисляване на процентното изменение на ра</w:t>
      </w:r>
      <w:r w:rsidR="00834620">
        <w:rPr>
          <w:rFonts w:ascii="Times New Roman" w:eastAsia="Times New Roman" w:hAnsi="Times New Roman" w:cs="Times New Roman"/>
          <w:sz w:val="24"/>
          <w:szCs w:val="24"/>
          <w:lang w:eastAsia="bg-BG"/>
        </w:rPr>
        <w:t>з</w:t>
      </w:r>
      <w:r w:rsidR="000E3418">
        <w:rPr>
          <w:rFonts w:ascii="Times New Roman" w:eastAsia="Times New Roman" w:hAnsi="Times New Roman" w:cs="Times New Roman"/>
          <w:sz w:val="24"/>
          <w:szCs w:val="24"/>
          <w:lang w:eastAsia="bg-BG"/>
        </w:rPr>
        <w:t>ходите, включени за изпълнение на лицензионната дейност, не са взети отчисленията за „</w:t>
      </w:r>
      <w:r w:rsidR="000E3418" w:rsidRPr="000E3418">
        <w:rPr>
          <w:rFonts w:ascii="Times New Roman" w:eastAsia="Times New Roman" w:hAnsi="Times New Roman" w:cs="Times New Roman"/>
          <w:sz w:val="24"/>
          <w:szCs w:val="24"/>
          <w:lang w:eastAsia="bg-BG"/>
        </w:rPr>
        <w:t>Такса ФСЕС, целеви вноски Регламент на ЕС 2022/1854</w:t>
      </w:r>
      <w:r w:rsidR="000E3418">
        <w:rPr>
          <w:rFonts w:ascii="Times New Roman" w:eastAsia="Times New Roman" w:hAnsi="Times New Roman" w:cs="Times New Roman"/>
          <w:sz w:val="24"/>
          <w:szCs w:val="24"/>
          <w:lang w:eastAsia="bg-BG"/>
        </w:rPr>
        <w:t xml:space="preserve">“, тъй като не участват като ценообразуващ елемент при формиране на регулираната цена. </w:t>
      </w:r>
      <w:r w:rsidR="00F01181">
        <w:rPr>
          <w:rFonts w:ascii="Times New Roman" w:eastAsia="Times New Roman" w:hAnsi="Times New Roman" w:cs="Times New Roman"/>
          <w:sz w:val="24"/>
          <w:szCs w:val="24"/>
          <w:lang w:eastAsia="bg-BG"/>
        </w:rPr>
        <w:t xml:space="preserve">Основната причина </w:t>
      </w:r>
      <w:r w:rsidR="000E3418">
        <w:rPr>
          <w:rFonts w:ascii="Times New Roman" w:eastAsia="Times New Roman" w:hAnsi="Times New Roman" w:cs="Times New Roman"/>
          <w:sz w:val="24"/>
          <w:szCs w:val="24"/>
          <w:lang w:eastAsia="bg-BG"/>
        </w:rPr>
        <w:t xml:space="preserve">за увеличение на разходите, пряко свързани с дейността по лицензията, </w:t>
      </w:r>
      <w:r w:rsidR="00F01181">
        <w:rPr>
          <w:rFonts w:ascii="Times New Roman" w:eastAsia="Times New Roman" w:hAnsi="Times New Roman" w:cs="Times New Roman"/>
          <w:sz w:val="24"/>
          <w:szCs w:val="24"/>
          <w:lang w:eastAsia="bg-BG"/>
        </w:rPr>
        <w:t>се дължи на по-високите разходи за застраховки</w:t>
      </w:r>
      <w:r w:rsidR="00B155D8">
        <w:rPr>
          <w:rFonts w:ascii="Times New Roman" w:eastAsia="Times New Roman" w:hAnsi="Times New Roman" w:cs="Times New Roman"/>
          <w:sz w:val="24"/>
          <w:szCs w:val="24"/>
          <w:lang w:eastAsia="bg-BG"/>
        </w:rPr>
        <w:t>, разходи за въоръжена и противопожарна охрана, наем хидротехнически съоръжения</w:t>
      </w:r>
      <w:r w:rsidR="008D2BD8">
        <w:rPr>
          <w:rFonts w:ascii="Times New Roman" w:eastAsia="Times New Roman" w:hAnsi="Times New Roman" w:cs="Times New Roman"/>
          <w:sz w:val="24"/>
          <w:szCs w:val="24"/>
          <w:lang w:eastAsia="bg-BG"/>
        </w:rPr>
        <w:t>, безплатна предпазна храна</w:t>
      </w:r>
      <w:r w:rsidR="00B155D8">
        <w:rPr>
          <w:rFonts w:ascii="Times New Roman" w:eastAsia="Times New Roman" w:hAnsi="Times New Roman" w:cs="Times New Roman"/>
          <w:sz w:val="24"/>
          <w:szCs w:val="24"/>
          <w:lang w:eastAsia="bg-BG"/>
        </w:rPr>
        <w:t xml:space="preserve"> и </w:t>
      </w:r>
      <w:r w:rsidR="008D2BD8">
        <w:rPr>
          <w:rFonts w:ascii="Times New Roman" w:eastAsia="Times New Roman" w:hAnsi="Times New Roman" w:cs="Times New Roman"/>
          <w:sz w:val="24"/>
          <w:szCs w:val="24"/>
          <w:lang w:eastAsia="bg-BG"/>
        </w:rPr>
        <w:t xml:space="preserve">служебни карти </w:t>
      </w:r>
      <w:r w:rsidR="008D2BD8">
        <w:rPr>
          <w:rFonts w:ascii="Times New Roman" w:eastAsia="Times New Roman" w:hAnsi="Times New Roman" w:cs="Times New Roman"/>
          <w:sz w:val="24"/>
          <w:szCs w:val="24"/>
          <w:lang w:val="en-US" w:eastAsia="bg-BG"/>
        </w:rPr>
        <w:t>(</w:t>
      </w:r>
      <w:r w:rsidR="008D2BD8">
        <w:rPr>
          <w:rFonts w:ascii="Times New Roman" w:eastAsia="Times New Roman" w:hAnsi="Times New Roman" w:cs="Times New Roman"/>
          <w:sz w:val="24"/>
          <w:szCs w:val="24"/>
          <w:lang w:eastAsia="bg-BG"/>
        </w:rPr>
        <w:t>превоз на персонала</w:t>
      </w:r>
      <w:r w:rsidR="008D2BD8">
        <w:rPr>
          <w:rFonts w:ascii="Times New Roman" w:eastAsia="Times New Roman" w:hAnsi="Times New Roman" w:cs="Times New Roman"/>
          <w:sz w:val="24"/>
          <w:szCs w:val="24"/>
          <w:lang w:val="en-US" w:eastAsia="bg-BG"/>
        </w:rPr>
        <w:t>)</w:t>
      </w:r>
      <w:r w:rsidR="00F01181">
        <w:rPr>
          <w:rFonts w:ascii="Times New Roman" w:eastAsia="Times New Roman" w:hAnsi="Times New Roman" w:cs="Times New Roman"/>
          <w:sz w:val="24"/>
          <w:szCs w:val="24"/>
          <w:lang w:eastAsia="bg-BG"/>
        </w:rPr>
        <w:t>.</w:t>
      </w:r>
      <w:r w:rsidR="000E3418">
        <w:rPr>
          <w:rFonts w:ascii="Times New Roman" w:eastAsia="Times New Roman" w:hAnsi="Times New Roman" w:cs="Times New Roman"/>
          <w:sz w:val="24"/>
          <w:szCs w:val="24"/>
          <w:lang w:eastAsia="bg-BG"/>
        </w:rPr>
        <w:t xml:space="preserve"> Тяхното и</w:t>
      </w:r>
      <w:r w:rsidR="00641066">
        <w:rPr>
          <w:rFonts w:ascii="Times New Roman" w:eastAsia="Times New Roman" w:hAnsi="Times New Roman" w:cs="Times New Roman"/>
          <w:sz w:val="24"/>
          <w:szCs w:val="24"/>
          <w:lang w:eastAsia="bg-BG"/>
        </w:rPr>
        <w:t>зменение</w:t>
      </w:r>
      <w:r w:rsidR="000E3418">
        <w:rPr>
          <w:rFonts w:ascii="Times New Roman" w:eastAsia="Times New Roman" w:hAnsi="Times New Roman" w:cs="Times New Roman"/>
          <w:sz w:val="24"/>
          <w:szCs w:val="24"/>
          <w:lang w:eastAsia="bg-BG"/>
        </w:rPr>
        <w:t xml:space="preserve"> </w:t>
      </w:r>
      <w:r w:rsidR="00641066">
        <w:rPr>
          <w:rFonts w:ascii="Times New Roman" w:eastAsia="Times New Roman" w:hAnsi="Times New Roman" w:cs="Times New Roman"/>
          <w:sz w:val="24"/>
          <w:szCs w:val="24"/>
          <w:lang w:eastAsia="bg-BG"/>
        </w:rPr>
        <w:t xml:space="preserve"> по видове</w:t>
      </w:r>
      <w:r w:rsidR="000E3418">
        <w:rPr>
          <w:rFonts w:ascii="Times New Roman" w:eastAsia="Times New Roman" w:hAnsi="Times New Roman" w:cs="Times New Roman"/>
          <w:sz w:val="24"/>
          <w:szCs w:val="24"/>
          <w:lang w:eastAsia="bg-BG"/>
        </w:rPr>
        <w:t xml:space="preserve"> разходи, е посочено в С</w:t>
      </w:r>
      <w:r w:rsidR="00641066">
        <w:rPr>
          <w:rFonts w:ascii="Times New Roman" w:eastAsia="Times New Roman" w:hAnsi="Times New Roman" w:cs="Times New Roman"/>
          <w:sz w:val="24"/>
          <w:szCs w:val="24"/>
          <w:lang w:eastAsia="bg-BG"/>
        </w:rPr>
        <w:t>правка № 2</w:t>
      </w:r>
      <w:r w:rsidR="0006500E">
        <w:rPr>
          <w:rFonts w:ascii="Times New Roman" w:eastAsia="Times New Roman" w:hAnsi="Times New Roman" w:cs="Times New Roman"/>
          <w:sz w:val="24"/>
          <w:szCs w:val="24"/>
          <w:lang w:eastAsia="bg-BG"/>
        </w:rPr>
        <w:t xml:space="preserve">. </w:t>
      </w:r>
    </w:p>
    <w:p w14:paraId="5663B5CD" w14:textId="63A0E8DB" w:rsidR="0006500E" w:rsidRPr="00A8412F" w:rsidRDefault="00A8412F">
      <w:pPr>
        <w:pStyle w:val="ListParagraph"/>
        <w:numPr>
          <w:ilvl w:val="1"/>
          <w:numId w:val="23"/>
        </w:numPr>
        <w:spacing w:after="120" w:line="240" w:lineRule="auto"/>
        <w:jc w:val="both"/>
        <w:rPr>
          <w:rFonts w:ascii="Times New Roman" w:eastAsia="Times New Roman" w:hAnsi="Times New Roman" w:cs="Times New Roman"/>
          <w:b/>
          <w:sz w:val="24"/>
          <w:szCs w:val="24"/>
          <w:lang w:eastAsia="bg-BG"/>
        </w:rPr>
      </w:pPr>
      <w:r w:rsidRPr="00A8412F">
        <w:rPr>
          <w:rFonts w:ascii="Times New Roman" w:eastAsia="Times New Roman" w:hAnsi="Times New Roman" w:cs="Times New Roman"/>
          <w:b/>
          <w:sz w:val="24"/>
          <w:szCs w:val="24"/>
          <w:lang w:eastAsia="bg-BG"/>
        </w:rPr>
        <w:t xml:space="preserve"> </w:t>
      </w:r>
      <w:r w:rsidR="00D20C05" w:rsidRPr="00A8412F">
        <w:rPr>
          <w:rFonts w:ascii="Times New Roman" w:eastAsia="Times New Roman" w:hAnsi="Times New Roman" w:cs="Times New Roman"/>
          <w:b/>
          <w:sz w:val="24"/>
          <w:szCs w:val="24"/>
          <w:lang w:eastAsia="bg-BG"/>
        </w:rPr>
        <w:t>Разходи свързани с нерегулиран</w:t>
      </w:r>
      <w:r w:rsidR="00D645D5">
        <w:rPr>
          <w:rFonts w:ascii="Times New Roman" w:eastAsia="Times New Roman" w:hAnsi="Times New Roman" w:cs="Times New Roman"/>
          <w:b/>
          <w:sz w:val="24"/>
          <w:szCs w:val="24"/>
          <w:lang w:eastAsia="bg-BG"/>
        </w:rPr>
        <w:t>ата</w:t>
      </w:r>
      <w:r w:rsidR="00D20C05" w:rsidRPr="00A8412F">
        <w:rPr>
          <w:rFonts w:ascii="Times New Roman" w:eastAsia="Times New Roman" w:hAnsi="Times New Roman" w:cs="Times New Roman"/>
          <w:b/>
          <w:sz w:val="24"/>
          <w:szCs w:val="24"/>
          <w:lang w:eastAsia="bg-BG"/>
        </w:rPr>
        <w:t xml:space="preserve"> дейност</w:t>
      </w:r>
    </w:p>
    <w:p w14:paraId="6EA268CD" w14:textId="09F28687" w:rsidR="009445FB" w:rsidRDefault="00D20C05">
      <w:pPr>
        <w:spacing w:after="12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В тази група разходи се включват всички </w:t>
      </w:r>
      <w:r w:rsidR="000F36FF">
        <w:rPr>
          <w:rFonts w:ascii="Times New Roman" w:eastAsia="Times New Roman" w:hAnsi="Times New Roman" w:cs="Times New Roman"/>
          <w:sz w:val="24"/>
          <w:szCs w:val="24"/>
          <w:lang w:eastAsia="bg-BG"/>
        </w:rPr>
        <w:t>разходи</w:t>
      </w:r>
      <w:r>
        <w:rPr>
          <w:rFonts w:ascii="Times New Roman" w:eastAsia="Times New Roman" w:hAnsi="Times New Roman" w:cs="Times New Roman"/>
          <w:sz w:val="24"/>
          <w:szCs w:val="24"/>
          <w:lang w:eastAsia="bg-BG"/>
        </w:rPr>
        <w:t>, които „ТЕЦ Марица изток 2“ЕАД извършва, но съгласно разпоредбите на Наредба № 1 на КЕВР не участват като ценообразуващ елемент при определяне на цената на електричес</w:t>
      </w:r>
      <w:r w:rsidR="00CD2195">
        <w:rPr>
          <w:rFonts w:ascii="Times New Roman" w:eastAsia="Times New Roman" w:hAnsi="Times New Roman" w:cs="Times New Roman"/>
          <w:sz w:val="24"/>
          <w:szCs w:val="24"/>
          <w:lang w:eastAsia="bg-BG"/>
        </w:rPr>
        <w:t>ката енергия. Такива разходи са: разходи за глоби и санкции, разходи свързани с балансиращ пазар, разходи за дарения, разходи свързани със съдебни спорове, разходи свързани със наложени допълнителни плащани по ЗЕ – вноските във ФСЕЕС и цената за достъп до електропреносната мрежа и др.</w:t>
      </w:r>
    </w:p>
    <w:tbl>
      <w:tblPr>
        <w:tblW w:w="9067" w:type="dxa"/>
        <w:tblCellMar>
          <w:left w:w="70" w:type="dxa"/>
          <w:right w:w="70" w:type="dxa"/>
        </w:tblCellMar>
        <w:tblLook w:val="04A0" w:firstRow="1" w:lastRow="0" w:firstColumn="1" w:lastColumn="0" w:noHBand="0" w:noVBand="1"/>
      </w:tblPr>
      <w:tblGrid>
        <w:gridCol w:w="580"/>
        <w:gridCol w:w="5511"/>
        <w:gridCol w:w="1275"/>
        <w:gridCol w:w="1701"/>
      </w:tblGrid>
      <w:tr w:rsidR="00DC5311" w:rsidRPr="00724E64" w14:paraId="3DDC017A" w14:textId="77777777" w:rsidTr="00053AAC">
        <w:trPr>
          <w:trHeight w:val="57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FCA5F2" w14:textId="77777777" w:rsidR="00DC5311" w:rsidRPr="00724E64" w:rsidRDefault="00DC5311" w:rsidP="00DC5311">
            <w:pPr>
              <w:spacing w:after="0" w:line="240" w:lineRule="auto"/>
              <w:jc w:val="center"/>
              <w:rPr>
                <w:rFonts w:ascii="Times New Roman" w:eastAsia="Times New Roman" w:hAnsi="Times New Roman" w:cs="Times New Roman"/>
                <w:b/>
                <w:bCs/>
                <w:sz w:val="18"/>
                <w:szCs w:val="18"/>
                <w:lang w:eastAsia="bg-BG"/>
              </w:rPr>
            </w:pPr>
            <w:r w:rsidRPr="00724E64">
              <w:rPr>
                <w:rFonts w:ascii="Times New Roman" w:eastAsia="Times New Roman" w:hAnsi="Times New Roman" w:cs="Times New Roman"/>
                <w:b/>
                <w:bCs/>
                <w:sz w:val="18"/>
                <w:szCs w:val="18"/>
                <w:lang w:eastAsia="bg-BG"/>
              </w:rPr>
              <w:t>6</w:t>
            </w:r>
          </w:p>
        </w:tc>
        <w:tc>
          <w:tcPr>
            <w:tcW w:w="5511" w:type="dxa"/>
            <w:tcBorders>
              <w:top w:val="single" w:sz="4" w:space="0" w:color="auto"/>
              <w:left w:val="nil"/>
              <w:bottom w:val="single" w:sz="4" w:space="0" w:color="auto"/>
              <w:right w:val="single" w:sz="4" w:space="0" w:color="auto"/>
            </w:tcBorders>
            <w:shd w:val="clear" w:color="auto" w:fill="auto"/>
            <w:vAlign w:val="center"/>
            <w:hideMark/>
          </w:tcPr>
          <w:p w14:paraId="1C7720AA" w14:textId="77777777" w:rsidR="00DC5311" w:rsidRPr="00724E64" w:rsidRDefault="00DC5311" w:rsidP="00DC5311">
            <w:pPr>
              <w:spacing w:after="0" w:line="240" w:lineRule="auto"/>
              <w:rPr>
                <w:rFonts w:ascii="Times New Roman" w:eastAsia="Times New Roman" w:hAnsi="Times New Roman" w:cs="Times New Roman"/>
                <w:b/>
                <w:bCs/>
                <w:sz w:val="18"/>
                <w:szCs w:val="18"/>
                <w:lang w:eastAsia="bg-BG"/>
              </w:rPr>
            </w:pPr>
            <w:r w:rsidRPr="00724E64">
              <w:rPr>
                <w:rFonts w:ascii="Times New Roman" w:eastAsia="Times New Roman" w:hAnsi="Times New Roman" w:cs="Times New Roman"/>
                <w:b/>
                <w:bCs/>
                <w:sz w:val="18"/>
                <w:szCs w:val="18"/>
                <w:lang w:eastAsia="bg-BG"/>
              </w:rPr>
              <w:t>Разходи, свързани с нерегулираната дейност</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212CE058" w14:textId="77777777" w:rsidR="00DC5311" w:rsidRPr="00724E64" w:rsidRDefault="00DC5311" w:rsidP="00DC5311">
            <w:pPr>
              <w:spacing w:after="0" w:line="240" w:lineRule="auto"/>
              <w:jc w:val="center"/>
              <w:rPr>
                <w:rFonts w:ascii="Times New Roman" w:eastAsia="Times New Roman" w:hAnsi="Times New Roman" w:cs="Times New Roman"/>
                <w:b/>
                <w:bCs/>
                <w:sz w:val="18"/>
                <w:szCs w:val="18"/>
                <w:lang w:eastAsia="bg-BG"/>
              </w:rPr>
            </w:pPr>
            <w:r w:rsidRPr="00724E64">
              <w:rPr>
                <w:rFonts w:ascii="Times New Roman" w:eastAsia="Times New Roman" w:hAnsi="Times New Roman" w:cs="Times New Roman"/>
                <w:b/>
                <w:bCs/>
                <w:sz w:val="18"/>
                <w:szCs w:val="18"/>
                <w:lang w:eastAsia="bg-BG"/>
              </w:rPr>
              <w:t>хил. лв.</w:t>
            </w:r>
          </w:p>
        </w:tc>
        <w:tc>
          <w:tcPr>
            <w:tcW w:w="1701" w:type="dxa"/>
            <w:tcBorders>
              <w:top w:val="single" w:sz="4" w:space="0" w:color="auto"/>
              <w:left w:val="nil"/>
              <w:bottom w:val="single" w:sz="4" w:space="0" w:color="auto"/>
              <w:right w:val="single" w:sz="4" w:space="0" w:color="auto"/>
            </w:tcBorders>
            <w:shd w:val="clear" w:color="auto" w:fill="auto"/>
            <w:noWrap/>
          </w:tcPr>
          <w:p w14:paraId="196E771B" w14:textId="1781E6D6" w:rsidR="00DC5311" w:rsidRPr="00724E64" w:rsidRDefault="00DC5311" w:rsidP="00DC5311">
            <w:pPr>
              <w:spacing w:after="0" w:line="240" w:lineRule="auto"/>
              <w:jc w:val="center"/>
              <w:rPr>
                <w:rFonts w:ascii="Times New Roman" w:eastAsia="Times New Roman" w:hAnsi="Times New Roman" w:cs="Times New Roman"/>
                <w:b/>
                <w:bCs/>
                <w:sz w:val="18"/>
                <w:szCs w:val="18"/>
                <w:lang w:eastAsia="bg-BG"/>
              </w:rPr>
            </w:pPr>
            <w:r>
              <w:rPr>
                <w:rFonts w:ascii="Times New Roman" w:eastAsia="Times New Roman" w:hAnsi="Times New Roman" w:cs="Times New Roman"/>
                <w:sz w:val="20"/>
                <w:szCs w:val="20"/>
                <w:lang w:eastAsia="bg-BG"/>
              </w:rPr>
              <w:t>………………</w:t>
            </w:r>
          </w:p>
        </w:tc>
      </w:tr>
      <w:tr w:rsidR="00DC5311" w:rsidRPr="00724E64" w14:paraId="4D5ED834" w14:textId="77777777" w:rsidTr="00053AAC">
        <w:trPr>
          <w:trHeight w:val="25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3C3187C7"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6.1.</w:t>
            </w:r>
          </w:p>
        </w:tc>
        <w:tc>
          <w:tcPr>
            <w:tcW w:w="5511" w:type="dxa"/>
            <w:tcBorders>
              <w:top w:val="nil"/>
              <w:left w:val="nil"/>
              <w:bottom w:val="single" w:sz="4" w:space="0" w:color="auto"/>
              <w:right w:val="single" w:sz="4" w:space="0" w:color="auto"/>
            </w:tcBorders>
            <w:shd w:val="clear" w:color="auto" w:fill="auto"/>
            <w:vAlign w:val="center"/>
            <w:hideMark/>
          </w:tcPr>
          <w:p w14:paraId="5332AAB1" w14:textId="77777777" w:rsidR="00DC5311" w:rsidRPr="00724E64" w:rsidRDefault="00DC5311" w:rsidP="00DC5311">
            <w:pPr>
              <w:spacing w:after="0" w:line="240" w:lineRule="auto"/>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Санкции и неустойки държавни органи</w:t>
            </w:r>
          </w:p>
        </w:tc>
        <w:tc>
          <w:tcPr>
            <w:tcW w:w="1275" w:type="dxa"/>
            <w:tcBorders>
              <w:top w:val="nil"/>
              <w:left w:val="nil"/>
              <w:bottom w:val="single" w:sz="4" w:space="0" w:color="auto"/>
              <w:right w:val="single" w:sz="4" w:space="0" w:color="auto"/>
            </w:tcBorders>
            <w:shd w:val="clear" w:color="auto" w:fill="auto"/>
            <w:noWrap/>
            <w:vAlign w:val="center"/>
            <w:hideMark/>
          </w:tcPr>
          <w:p w14:paraId="59CB3A7E"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хил. лв.</w:t>
            </w:r>
          </w:p>
        </w:tc>
        <w:tc>
          <w:tcPr>
            <w:tcW w:w="1701" w:type="dxa"/>
            <w:tcBorders>
              <w:top w:val="nil"/>
              <w:left w:val="nil"/>
              <w:bottom w:val="single" w:sz="4" w:space="0" w:color="auto"/>
              <w:right w:val="single" w:sz="4" w:space="0" w:color="auto"/>
            </w:tcBorders>
            <w:shd w:val="clear" w:color="auto" w:fill="auto"/>
            <w:noWrap/>
          </w:tcPr>
          <w:p w14:paraId="7AC75D9A" w14:textId="6D81577D"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r>
      <w:tr w:rsidR="00DC5311" w:rsidRPr="00724E64" w14:paraId="75D6A38E" w14:textId="77777777" w:rsidTr="00053AAC">
        <w:trPr>
          <w:trHeight w:val="25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A991516"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6.2.</w:t>
            </w:r>
          </w:p>
        </w:tc>
        <w:tc>
          <w:tcPr>
            <w:tcW w:w="5511" w:type="dxa"/>
            <w:tcBorders>
              <w:top w:val="nil"/>
              <w:left w:val="nil"/>
              <w:bottom w:val="single" w:sz="4" w:space="0" w:color="auto"/>
              <w:right w:val="single" w:sz="4" w:space="0" w:color="auto"/>
            </w:tcBorders>
            <w:shd w:val="clear" w:color="auto" w:fill="auto"/>
            <w:vAlign w:val="center"/>
            <w:hideMark/>
          </w:tcPr>
          <w:p w14:paraId="6DCAD0CB" w14:textId="77777777" w:rsidR="00DC5311" w:rsidRPr="00724E64" w:rsidRDefault="00DC5311" w:rsidP="00DC5311">
            <w:pPr>
              <w:spacing w:after="0" w:line="240" w:lineRule="auto"/>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Неустойки по договори с контрагенти</w:t>
            </w:r>
          </w:p>
        </w:tc>
        <w:tc>
          <w:tcPr>
            <w:tcW w:w="1275" w:type="dxa"/>
            <w:tcBorders>
              <w:top w:val="nil"/>
              <w:left w:val="nil"/>
              <w:bottom w:val="single" w:sz="4" w:space="0" w:color="auto"/>
              <w:right w:val="single" w:sz="4" w:space="0" w:color="auto"/>
            </w:tcBorders>
            <w:shd w:val="clear" w:color="auto" w:fill="auto"/>
            <w:noWrap/>
            <w:vAlign w:val="center"/>
            <w:hideMark/>
          </w:tcPr>
          <w:p w14:paraId="18B8F9DA"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хил. лв.</w:t>
            </w:r>
          </w:p>
        </w:tc>
        <w:tc>
          <w:tcPr>
            <w:tcW w:w="1701" w:type="dxa"/>
            <w:tcBorders>
              <w:top w:val="nil"/>
              <w:left w:val="nil"/>
              <w:bottom w:val="single" w:sz="4" w:space="0" w:color="auto"/>
              <w:right w:val="single" w:sz="4" w:space="0" w:color="auto"/>
            </w:tcBorders>
            <w:shd w:val="clear" w:color="auto" w:fill="auto"/>
            <w:noWrap/>
          </w:tcPr>
          <w:p w14:paraId="7AB11098" w14:textId="160635A6"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r>
      <w:tr w:rsidR="00DC5311" w:rsidRPr="00724E64" w14:paraId="76144516" w14:textId="77777777" w:rsidTr="00053AAC">
        <w:trPr>
          <w:trHeight w:val="43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64D8708"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6.3.</w:t>
            </w:r>
          </w:p>
        </w:tc>
        <w:tc>
          <w:tcPr>
            <w:tcW w:w="5511" w:type="dxa"/>
            <w:tcBorders>
              <w:top w:val="nil"/>
              <w:left w:val="nil"/>
              <w:bottom w:val="single" w:sz="4" w:space="0" w:color="auto"/>
              <w:right w:val="single" w:sz="4" w:space="0" w:color="auto"/>
            </w:tcBorders>
            <w:shd w:val="clear" w:color="auto" w:fill="auto"/>
            <w:vAlign w:val="center"/>
            <w:hideMark/>
          </w:tcPr>
          <w:p w14:paraId="27420EE8" w14:textId="77777777" w:rsidR="00DC5311" w:rsidRPr="00724E64" w:rsidRDefault="00DC5311" w:rsidP="00DC5311">
            <w:pPr>
              <w:spacing w:after="0" w:line="240" w:lineRule="auto"/>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Разходи за обезценка на инвестиция</w:t>
            </w:r>
          </w:p>
        </w:tc>
        <w:tc>
          <w:tcPr>
            <w:tcW w:w="1275" w:type="dxa"/>
            <w:tcBorders>
              <w:top w:val="nil"/>
              <w:left w:val="nil"/>
              <w:bottom w:val="single" w:sz="4" w:space="0" w:color="auto"/>
              <w:right w:val="single" w:sz="4" w:space="0" w:color="auto"/>
            </w:tcBorders>
            <w:shd w:val="clear" w:color="auto" w:fill="auto"/>
            <w:noWrap/>
            <w:vAlign w:val="center"/>
            <w:hideMark/>
          </w:tcPr>
          <w:p w14:paraId="2C429B52"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хил. лв.</w:t>
            </w:r>
          </w:p>
        </w:tc>
        <w:tc>
          <w:tcPr>
            <w:tcW w:w="1701" w:type="dxa"/>
            <w:tcBorders>
              <w:top w:val="nil"/>
              <w:left w:val="nil"/>
              <w:bottom w:val="single" w:sz="4" w:space="0" w:color="auto"/>
              <w:right w:val="single" w:sz="4" w:space="0" w:color="auto"/>
            </w:tcBorders>
            <w:shd w:val="clear" w:color="auto" w:fill="auto"/>
            <w:noWrap/>
          </w:tcPr>
          <w:p w14:paraId="3E44F268" w14:textId="0744CFB0"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r>
      <w:tr w:rsidR="00DC5311" w:rsidRPr="00724E64" w14:paraId="7B925A4A" w14:textId="77777777" w:rsidTr="00053AAC">
        <w:trPr>
          <w:trHeight w:val="25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2AB5DDF"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6.4.</w:t>
            </w:r>
          </w:p>
        </w:tc>
        <w:tc>
          <w:tcPr>
            <w:tcW w:w="5511" w:type="dxa"/>
            <w:tcBorders>
              <w:top w:val="nil"/>
              <w:left w:val="nil"/>
              <w:bottom w:val="single" w:sz="4" w:space="0" w:color="auto"/>
              <w:right w:val="single" w:sz="4" w:space="0" w:color="auto"/>
            </w:tcBorders>
            <w:shd w:val="clear" w:color="auto" w:fill="auto"/>
            <w:vAlign w:val="center"/>
            <w:hideMark/>
          </w:tcPr>
          <w:p w14:paraId="033CF7AD" w14:textId="77777777" w:rsidR="00DC5311" w:rsidRPr="00724E64" w:rsidRDefault="00DC5311" w:rsidP="00DC5311">
            <w:pPr>
              <w:spacing w:after="0" w:line="240" w:lineRule="auto"/>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Разходи за ФСЕЕС</w:t>
            </w:r>
          </w:p>
        </w:tc>
        <w:tc>
          <w:tcPr>
            <w:tcW w:w="1275" w:type="dxa"/>
            <w:tcBorders>
              <w:top w:val="nil"/>
              <w:left w:val="nil"/>
              <w:bottom w:val="single" w:sz="4" w:space="0" w:color="auto"/>
              <w:right w:val="single" w:sz="4" w:space="0" w:color="auto"/>
            </w:tcBorders>
            <w:shd w:val="clear" w:color="auto" w:fill="auto"/>
            <w:noWrap/>
            <w:vAlign w:val="center"/>
            <w:hideMark/>
          </w:tcPr>
          <w:p w14:paraId="54F65C26"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хил. лв.</w:t>
            </w:r>
          </w:p>
        </w:tc>
        <w:tc>
          <w:tcPr>
            <w:tcW w:w="1701" w:type="dxa"/>
            <w:tcBorders>
              <w:top w:val="nil"/>
              <w:left w:val="nil"/>
              <w:bottom w:val="single" w:sz="4" w:space="0" w:color="auto"/>
              <w:right w:val="single" w:sz="4" w:space="0" w:color="auto"/>
            </w:tcBorders>
            <w:shd w:val="clear" w:color="auto" w:fill="auto"/>
            <w:noWrap/>
          </w:tcPr>
          <w:p w14:paraId="6F145F21" w14:textId="75E0571F"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r>
      <w:tr w:rsidR="00DC5311" w:rsidRPr="00724E64" w14:paraId="175789D3" w14:textId="77777777" w:rsidTr="00053AAC">
        <w:trPr>
          <w:trHeight w:val="25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389EB8E7"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6.5.</w:t>
            </w:r>
          </w:p>
        </w:tc>
        <w:tc>
          <w:tcPr>
            <w:tcW w:w="5511" w:type="dxa"/>
            <w:tcBorders>
              <w:top w:val="nil"/>
              <w:left w:val="nil"/>
              <w:bottom w:val="single" w:sz="4" w:space="0" w:color="auto"/>
              <w:right w:val="single" w:sz="4" w:space="0" w:color="auto"/>
            </w:tcBorders>
            <w:shd w:val="clear" w:color="auto" w:fill="auto"/>
            <w:vAlign w:val="center"/>
            <w:hideMark/>
          </w:tcPr>
          <w:p w14:paraId="3C283EAD" w14:textId="77777777" w:rsidR="00DC5311" w:rsidRPr="00724E64" w:rsidRDefault="00DC5311" w:rsidP="00DC5311">
            <w:pPr>
              <w:spacing w:after="0" w:line="240" w:lineRule="auto"/>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Такса цена за достъп до ЕЕС</w:t>
            </w:r>
          </w:p>
        </w:tc>
        <w:tc>
          <w:tcPr>
            <w:tcW w:w="1275" w:type="dxa"/>
            <w:tcBorders>
              <w:top w:val="nil"/>
              <w:left w:val="nil"/>
              <w:bottom w:val="single" w:sz="4" w:space="0" w:color="auto"/>
              <w:right w:val="single" w:sz="4" w:space="0" w:color="auto"/>
            </w:tcBorders>
            <w:shd w:val="clear" w:color="auto" w:fill="auto"/>
            <w:noWrap/>
            <w:vAlign w:val="center"/>
            <w:hideMark/>
          </w:tcPr>
          <w:p w14:paraId="6EF934A2"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хил. лв.</w:t>
            </w:r>
          </w:p>
        </w:tc>
        <w:tc>
          <w:tcPr>
            <w:tcW w:w="1701" w:type="dxa"/>
            <w:tcBorders>
              <w:top w:val="nil"/>
              <w:left w:val="nil"/>
              <w:bottom w:val="single" w:sz="4" w:space="0" w:color="auto"/>
              <w:right w:val="single" w:sz="4" w:space="0" w:color="auto"/>
            </w:tcBorders>
            <w:shd w:val="clear" w:color="auto" w:fill="auto"/>
            <w:noWrap/>
          </w:tcPr>
          <w:p w14:paraId="6634EC3B" w14:textId="3A7B255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r>
      <w:tr w:rsidR="00DC5311" w:rsidRPr="00724E64" w14:paraId="37658EEE" w14:textId="77777777" w:rsidTr="00053AAC">
        <w:trPr>
          <w:trHeight w:val="25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144F16D5"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6.6.</w:t>
            </w:r>
          </w:p>
        </w:tc>
        <w:tc>
          <w:tcPr>
            <w:tcW w:w="5511" w:type="dxa"/>
            <w:tcBorders>
              <w:top w:val="nil"/>
              <w:left w:val="nil"/>
              <w:bottom w:val="single" w:sz="4" w:space="0" w:color="auto"/>
              <w:right w:val="single" w:sz="4" w:space="0" w:color="auto"/>
            </w:tcBorders>
            <w:shd w:val="clear" w:color="auto" w:fill="auto"/>
            <w:vAlign w:val="center"/>
            <w:hideMark/>
          </w:tcPr>
          <w:p w14:paraId="392B9F2E" w14:textId="77777777" w:rsidR="00DC5311" w:rsidRPr="00724E64" w:rsidRDefault="00DC5311" w:rsidP="00DC5311">
            <w:pPr>
              <w:spacing w:after="0" w:line="240" w:lineRule="auto"/>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Други нерегул.дейности - спорт и култура</w:t>
            </w:r>
          </w:p>
        </w:tc>
        <w:tc>
          <w:tcPr>
            <w:tcW w:w="1275" w:type="dxa"/>
            <w:tcBorders>
              <w:top w:val="nil"/>
              <w:left w:val="nil"/>
              <w:bottom w:val="single" w:sz="4" w:space="0" w:color="auto"/>
              <w:right w:val="single" w:sz="4" w:space="0" w:color="auto"/>
            </w:tcBorders>
            <w:shd w:val="clear" w:color="auto" w:fill="auto"/>
            <w:noWrap/>
            <w:vAlign w:val="center"/>
            <w:hideMark/>
          </w:tcPr>
          <w:p w14:paraId="59866B38"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хил. лв.</w:t>
            </w:r>
          </w:p>
        </w:tc>
        <w:tc>
          <w:tcPr>
            <w:tcW w:w="1701" w:type="dxa"/>
            <w:tcBorders>
              <w:top w:val="nil"/>
              <w:left w:val="nil"/>
              <w:bottom w:val="single" w:sz="4" w:space="0" w:color="auto"/>
              <w:right w:val="single" w:sz="4" w:space="0" w:color="auto"/>
            </w:tcBorders>
            <w:shd w:val="clear" w:color="auto" w:fill="auto"/>
            <w:noWrap/>
          </w:tcPr>
          <w:p w14:paraId="79511A29" w14:textId="215455CC"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r>
      <w:tr w:rsidR="00DC5311" w:rsidRPr="00724E64" w14:paraId="3476CEAA" w14:textId="77777777" w:rsidTr="00053AAC">
        <w:trPr>
          <w:trHeight w:val="25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E291A00"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6.7.</w:t>
            </w:r>
          </w:p>
        </w:tc>
        <w:tc>
          <w:tcPr>
            <w:tcW w:w="5511" w:type="dxa"/>
            <w:tcBorders>
              <w:top w:val="nil"/>
              <w:left w:val="nil"/>
              <w:bottom w:val="single" w:sz="4" w:space="0" w:color="auto"/>
              <w:right w:val="single" w:sz="4" w:space="0" w:color="auto"/>
            </w:tcBorders>
            <w:shd w:val="clear" w:color="auto" w:fill="auto"/>
            <w:vAlign w:val="center"/>
            <w:hideMark/>
          </w:tcPr>
          <w:p w14:paraId="19D74E2A" w14:textId="77777777" w:rsidR="00DC5311" w:rsidRPr="00724E64" w:rsidRDefault="00DC5311" w:rsidP="00DC5311">
            <w:pPr>
              <w:spacing w:after="0" w:line="240" w:lineRule="auto"/>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Обезценки търг.взем. съдебни дела МСФО 9</w:t>
            </w:r>
          </w:p>
        </w:tc>
        <w:tc>
          <w:tcPr>
            <w:tcW w:w="1275" w:type="dxa"/>
            <w:tcBorders>
              <w:top w:val="nil"/>
              <w:left w:val="nil"/>
              <w:bottom w:val="single" w:sz="4" w:space="0" w:color="auto"/>
              <w:right w:val="single" w:sz="4" w:space="0" w:color="auto"/>
            </w:tcBorders>
            <w:shd w:val="clear" w:color="auto" w:fill="auto"/>
            <w:noWrap/>
            <w:vAlign w:val="center"/>
            <w:hideMark/>
          </w:tcPr>
          <w:p w14:paraId="73DE64C4"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хил. лв.</w:t>
            </w:r>
          </w:p>
        </w:tc>
        <w:tc>
          <w:tcPr>
            <w:tcW w:w="1701" w:type="dxa"/>
            <w:tcBorders>
              <w:top w:val="nil"/>
              <w:left w:val="nil"/>
              <w:bottom w:val="single" w:sz="4" w:space="0" w:color="auto"/>
              <w:right w:val="single" w:sz="4" w:space="0" w:color="auto"/>
            </w:tcBorders>
            <w:shd w:val="clear" w:color="auto" w:fill="auto"/>
            <w:noWrap/>
          </w:tcPr>
          <w:p w14:paraId="07146517" w14:textId="3B6C28C2"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r>
      <w:tr w:rsidR="00DC5311" w:rsidRPr="00724E64" w14:paraId="4ACE4236" w14:textId="77777777" w:rsidTr="00053AAC">
        <w:trPr>
          <w:trHeight w:val="25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CE32926"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6.7.</w:t>
            </w:r>
          </w:p>
        </w:tc>
        <w:tc>
          <w:tcPr>
            <w:tcW w:w="5511" w:type="dxa"/>
            <w:tcBorders>
              <w:top w:val="nil"/>
              <w:left w:val="nil"/>
              <w:bottom w:val="single" w:sz="4" w:space="0" w:color="auto"/>
              <w:right w:val="single" w:sz="4" w:space="0" w:color="auto"/>
            </w:tcBorders>
            <w:shd w:val="clear" w:color="auto" w:fill="auto"/>
            <w:noWrap/>
            <w:vAlign w:val="bottom"/>
            <w:hideMark/>
          </w:tcPr>
          <w:p w14:paraId="41AE6508" w14:textId="77777777" w:rsidR="00DC5311" w:rsidRPr="00724E64" w:rsidRDefault="00DC5311" w:rsidP="00DC5311">
            <w:pPr>
              <w:spacing w:after="0" w:line="240" w:lineRule="auto"/>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Провизии за емисии квоти</w:t>
            </w:r>
          </w:p>
        </w:tc>
        <w:tc>
          <w:tcPr>
            <w:tcW w:w="1275" w:type="dxa"/>
            <w:tcBorders>
              <w:top w:val="nil"/>
              <w:left w:val="nil"/>
              <w:bottom w:val="single" w:sz="4" w:space="0" w:color="auto"/>
              <w:right w:val="single" w:sz="4" w:space="0" w:color="auto"/>
            </w:tcBorders>
            <w:shd w:val="clear" w:color="auto" w:fill="auto"/>
            <w:noWrap/>
            <w:vAlign w:val="center"/>
            <w:hideMark/>
          </w:tcPr>
          <w:p w14:paraId="5A66AFA8"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хил. лв.</w:t>
            </w:r>
          </w:p>
        </w:tc>
        <w:tc>
          <w:tcPr>
            <w:tcW w:w="1701" w:type="dxa"/>
            <w:tcBorders>
              <w:top w:val="nil"/>
              <w:left w:val="nil"/>
              <w:bottom w:val="single" w:sz="4" w:space="0" w:color="auto"/>
              <w:right w:val="single" w:sz="4" w:space="0" w:color="auto"/>
            </w:tcBorders>
            <w:shd w:val="clear" w:color="auto" w:fill="auto"/>
            <w:noWrap/>
          </w:tcPr>
          <w:p w14:paraId="7B60C764" w14:textId="3F64766A"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r>
      <w:tr w:rsidR="00DC5311" w:rsidRPr="00724E64" w14:paraId="7AFD398F" w14:textId="77777777" w:rsidTr="00053AAC">
        <w:trPr>
          <w:trHeight w:val="25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5CEE742"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6.8.</w:t>
            </w:r>
          </w:p>
        </w:tc>
        <w:tc>
          <w:tcPr>
            <w:tcW w:w="5511" w:type="dxa"/>
            <w:tcBorders>
              <w:top w:val="nil"/>
              <w:left w:val="nil"/>
              <w:bottom w:val="single" w:sz="4" w:space="0" w:color="auto"/>
              <w:right w:val="single" w:sz="4" w:space="0" w:color="auto"/>
            </w:tcBorders>
            <w:shd w:val="clear" w:color="auto" w:fill="auto"/>
            <w:vAlign w:val="center"/>
            <w:hideMark/>
          </w:tcPr>
          <w:p w14:paraId="4D8AC06B" w14:textId="77777777" w:rsidR="00DC5311" w:rsidRPr="00724E64" w:rsidRDefault="00DC5311" w:rsidP="00DC5311">
            <w:pPr>
              <w:spacing w:after="0" w:line="240" w:lineRule="auto"/>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Разходи за данъци</w:t>
            </w:r>
          </w:p>
        </w:tc>
        <w:tc>
          <w:tcPr>
            <w:tcW w:w="1275" w:type="dxa"/>
            <w:tcBorders>
              <w:top w:val="nil"/>
              <w:left w:val="nil"/>
              <w:bottom w:val="single" w:sz="4" w:space="0" w:color="auto"/>
              <w:right w:val="single" w:sz="4" w:space="0" w:color="auto"/>
            </w:tcBorders>
            <w:shd w:val="clear" w:color="auto" w:fill="auto"/>
            <w:noWrap/>
            <w:vAlign w:val="center"/>
            <w:hideMark/>
          </w:tcPr>
          <w:p w14:paraId="5F04A2DC"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хил. лв.</w:t>
            </w:r>
          </w:p>
        </w:tc>
        <w:tc>
          <w:tcPr>
            <w:tcW w:w="1701" w:type="dxa"/>
            <w:tcBorders>
              <w:top w:val="nil"/>
              <w:left w:val="nil"/>
              <w:bottom w:val="single" w:sz="4" w:space="0" w:color="auto"/>
              <w:right w:val="single" w:sz="4" w:space="0" w:color="auto"/>
            </w:tcBorders>
            <w:shd w:val="clear" w:color="auto" w:fill="auto"/>
            <w:noWrap/>
          </w:tcPr>
          <w:p w14:paraId="2CEF7F8E" w14:textId="0C1F957B"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r>
      <w:tr w:rsidR="00DC5311" w:rsidRPr="00724E64" w14:paraId="2EA847DD" w14:textId="77777777" w:rsidTr="00053AAC">
        <w:trPr>
          <w:trHeight w:val="25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F960E05"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6.9.</w:t>
            </w:r>
          </w:p>
        </w:tc>
        <w:tc>
          <w:tcPr>
            <w:tcW w:w="5511" w:type="dxa"/>
            <w:tcBorders>
              <w:top w:val="nil"/>
              <w:left w:val="nil"/>
              <w:bottom w:val="single" w:sz="4" w:space="0" w:color="auto"/>
              <w:right w:val="single" w:sz="4" w:space="0" w:color="auto"/>
            </w:tcBorders>
            <w:shd w:val="clear" w:color="auto" w:fill="auto"/>
            <w:vAlign w:val="center"/>
            <w:hideMark/>
          </w:tcPr>
          <w:p w14:paraId="1AA4C563" w14:textId="77777777" w:rsidR="00DC5311" w:rsidRPr="00724E64" w:rsidRDefault="00DC5311" w:rsidP="00DC5311">
            <w:pPr>
              <w:spacing w:after="0" w:line="240" w:lineRule="auto"/>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Разходи за дарения</w:t>
            </w:r>
          </w:p>
        </w:tc>
        <w:tc>
          <w:tcPr>
            <w:tcW w:w="1275" w:type="dxa"/>
            <w:tcBorders>
              <w:top w:val="nil"/>
              <w:left w:val="nil"/>
              <w:bottom w:val="single" w:sz="4" w:space="0" w:color="auto"/>
              <w:right w:val="single" w:sz="4" w:space="0" w:color="auto"/>
            </w:tcBorders>
            <w:shd w:val="clear" w:color="auto" w:fill="auto"/>
            <w:noWrap/>
            <w:vAlign w:val="center"/>
            <w:hideMark/>
          </w:tcPr>
          <w:p w14:paraId="3E352C33"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хил. лв.</w:t>
            </w:r>
          </w:p>
        </w:tc>
        <w:tc>
          <w:tcPr>
            <w:tcW w:w="1701" w:type="dxa"/>
            <w:tcBorders>
              <w:top w:val="nil"/>
              <w:left w:val="nil"/>
              <w:bottom w:val="single" w:sz="4" w:space="0" w:color="auto"/>
              <w:right w:val="single" w:sz="4" w:space="0" w:color="auto"/>
            </w:tcBorders>
            <w:shd w:val="clear" w:color="auto" w:fill="auto"/>
            <w:noWrap/>
          </w:tcPr>
          <w:p w14:paraId="688AC4AE" w14:textId="32B64269"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r>
      <w:tr w:rsidR="00DC5311" w:rsidRPr="00724E64" w14:paraId="68D6A286" w14:textId="77777777" w:rsidTr="00053AAC">
        <w:trPr>
          <w:trHeight w:val="25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8D9BE68"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6.10.</w:t>
            </w:r>
          </w:p>
        </w:tc>
        <w:tc>
          <w:tcPr>
            <w:tcW w:w="5511" w:type="dxa"/>
            <w:tcBorders>
              <w:top w:val="nil"/>
              <w:left w:val="nil"/>
              <w:bottom w:val="single" w:sz="4" w:space="0" w:color="auto"/>
              <w:right w:val="single" w:sz="4" w:space="0" w:color="auto"/>
            </w:tcBorders>
            <w:shd w:val="clear" w:color="auto" w:fill="auto"/>
            <w:vAlign w:val="center"/>
            <w:hideMark/>
          </w:tcPr>
          <w:p w14:paraId="246A5C72" w14:textId="77777777" w:rsidR="00DC5311" w:rsidRPr="00724E64" w:rsidRDefault="00DC5311" w:rsidP="00DC5311">
            <w:pPr>
              <w:spacing w:after="0" w:line="240" w:lineRule="auto"/>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Разходи за лихви просрочени плащания</w:t>
            </w:r>
          </w:p>
        </w:tc>
        <w:tc>
          <w:tcPr>
            <w:tcW w:w="1275" w:type="dxa"/>
            <w:tcBorders>
              <w:top w:val="nil"/>
              <w:left w:val="nil"/>
              <w:bottom w:val="single" w:sz="4" w:space="0" w:color="auto"/>
              <w:right w:val="single" w:sz="4" w:space="0" w:color="auto"/>
            </w:tcBorders>
            <w:shd w:val="clear" w:color="auto" w:fill="auto"/>
            <w:noWrap/>
            <w:vAlign w:val="center"/>
            <w:hideMark/>
          </w:tcPr>
          <w:p w14:paraId="1F6951E4"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хил. лв.</w:t>
            </w:r>
          </w:p>
        </w:tc>
        <w:tc>
          <w:tcPr>
            <w:tcW w:w="1701" w:type="dxa"/>
            <w:tcBorders>
              <w:top w:val="nil"/>
              <w:left w:val="nil"/>
              <w:bottom w:val="single" w:sz="4" w:space="0" w:color="auto"/>
              <w:right w:val="single" w:sz="4" w:space="0" w:color="auto"/>
            </w:tcBorders>
            <w:shd w:val="clear" w:color="auto" w:fill="auto"/>
            <w:noWrap/>
          </w:tcPr>
          <w:p w14:paraId="4A097B93" w14:textId="151E8EDD"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r>
      <w:tr w:rsidR="00DC5311" w:rsidRPr="00724E64" w14:paraId="65F983DB" w14:textId="77777777" w:rsidTr="00053AAC">
        <w:trPr>
          <w:trHeight w:val="25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D25CCA5"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6.11.</w:t>
            </w:r>
          </w:p>
        </w:tc>
        <w:tc>
          <w:tcPr>
            <w:tcW w:w="5511" w:type="dxa"/>
            <w:tcBorders>
              <w:top w:val="nil"/>
              <w:left w:val="nil"/>
              <w:bottom w:val="single" w:sz="4" w:space="0" w:color="auto"/>
              <w:right w:val="single" w:sz="4" w:space="0" w:color="auto"/>
            </w:tcBorders>
            <w:shd w:val="clear" w:color="auto" w:fill="auto"/>
            <w:vAlign w:val="center"/>
            <w:hideMark/>
          </w:tcPr>
          <w:p w14:paraId="7E2880DF" w14:textId="77777777" w:rsidR="00DC5311" w:rsidRPr="00724E64" w:rsidRDefault="00DC5311" w:rsidP="00DC5311">
            <w:pPr>
              <w:spacing w:after="0" w:line="240" w:lineRule="auto"/>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Разходи за дохода при пенсиониране</w:t>
            </w:r>
          </w:p>
        </w:tc>
        <w:tc>
          <w:tcPr>
            <w:tcW w:w="1275" w:type="dxa"/>
            <w:tcBorders>
              <w:top w:val="nil"/>
              <w:left w:val="nil"/>
              <w:bottom w:val="single" w:sz="4" w:space="0" w:color="auto"/>
              <w:right w:val="single" w:sz="4" w:space="0" w:color="auto"/>
            </w:tcBorders>
            <w:shd w:val="clear" w:color="auto" w:fill="auto"/>
            <w:noWrap/>
            <w:vAlign w:val="center"/>
            <w:hideMark/>
          </w:tcPr>
          <w:p w14:paraId="72E4EE49"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хил. лв.</w:t>
            </w:r>
          </w:p>
        </w:tc>
        <w:tc>
          <w:tcPr>
            <w:tcW w:w="1701" w:type="dxa"/>
            <w:tcBorders>
              <w:top w:val="nil"/>
              <w:left w:val="nil"/>
              <w:bottom w:val="single" w:sz="4" w:space="0" w:color="auto"/>
              <w:right w:val="single" w:sz="4" w:space="0" w:color="auto"/>
            </w:tcBorders>
            <w:shd w:val="clear" w:color="auto" w:fill="auto"/>
            <w:noWrap/>
          </w:tcPr>
          <w:p w14:paraId="4788CBA6" w14:textId="505B6A28"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r>
      <w:tr w:rsidR="00DC5311" w:rsidRPr="00724E64" w14:paraId="006E42F3" w14:textId="77777777" w:rsidTr="00053AAC">
        <w:trPr>
          <w:trHeight w:val="25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30445F9F"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6.12.</w:t>
            </w:r>
          </w:p>
        </w:tc>
        <w:tc>
          <w:tcPr>
            <w:tcW w:w="5511" w:type="dxa"/>
            <w:tcBorders>
              <w:top w:val="nil"/>
              <w:left w:val="nil"/>
              <w:bottom w:val="single" w:sz="4" w:space="0" w:color="auto"/>
              <w:right w:val="single" w:sz="4" w:space="0" w:color="auto"/>
            </w:tcBorders>
            <w:shd w:val="clear" w:color="auto" w:fill="auto"/>
            <w:vAlign w:val="center"/>
            <w:hideMark/>
          </w:tcPr>
          <w:p w14:paraId="4A15224A" w14:textId="77777777" w:rsidR="00DC5311" w:rsidRPr="00724E64" w:rsidRDefault="00DC5311" w:rsidP="00DC5311">
            <w:pPr>
              <w:spacing w:after="0" w:line="240" w:lineRule="auto"/>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Разходи за брак и други несвързани разходи</w:t>
            </w:r>
          </w:p>
        </w:tc>
        <w:tc>
          <w:tcPr>
            <w:tcW w:w="1275" w:type="dxa"/>
            <w:tcBorders>
              <w:top w:val="nil"/>
              <w:left w:val="nil"/>
              <w:bottom w:val="single" w:sz="4" w:space="0" w:color="auto"/>
              <w:right w:val="single" w:sz="4" w:space="0" w:color="auto"/>
            </w:tcBorders>
            <w:shd w:val="clear" w:color="auto" w:fill="auto"/>
            <w:noWrap/>
            <w:vAlign w:val="center"/>
            <w:hideMark/>
          </w:tcPr>
          <w:p w14:paraId="27D14E52"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хил. лв.</w:t>
            </w:r>
          </w:p>
        </w:tc>
        <w:tc>
          <w:tcPr>
            <w:tcW w:w="1701" w:type="dxa"/>
            <w:tcBorders>
              <w:top w:val="nil"/>
              <w:left w:val="nil"/>
              <w:bottom w:val="single" w:sz="4" w:space="0" w:color="auto"/>
              <w:right w:val="single" w:sz="4" w:space="0" w:color="auto"/>
            </w:tcBorders>
            <w:shd w:val="clear" w:color="auto" w:fill="auto"/>
            <w:noWrap/>
          </w:tcPr>
          <w:p w14:paraId="278DA7E2" w14:textId="5E04715F"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r>
      <w:tr w:rsidR="00DC5311" w:rsidRPr="00724E64" w14:paraId="7FFC4BE5" w14:textId="77777777" w:rsidTr="00BA4CF7">
        <w:trPr>
          <w:trHeight w:val="25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10B2072"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6.13.</w:t>
            </w:r>
          </w:p>
        </w:tc>
        <w:tc>
          <w:tcPr>
            <w:tcW w:w="5511" w:type="dxa"/>
            <w:tcBorders>
              <w:top w:val="nil"/>
              <w:left w:val="nil"/>
              <w:bottom w:val="single" w:sz="4" w:space="0" w:color="auto"/>
              <w:right w:val="single" w:sz="4" w:space="0" w:color="auto"/>
            </w:tcBorders>
            <w:shd w:val="clear" w:color="auto" w:fill="auto"/>
            <w:vAlign w:val="center"/>
            <w:hideMark/>
          </w:tcPr>
          <w:p w14:paraId="42E889C9" w14:textId="77777777" w:rsidR="00DC5311" w:rsidRPr="00724E64" w:rsidRDefault="00DC5311" w:rsidP="00DC5311">
            <w:pPr>
              <w:spacing w:after="0" w:line="240" w:lineRule="auto"/>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Обезценка на ДМА и материални запаси</w:t>
            </w:r>
          </w:p>
        </w:tc>
        <w:tc>
          <w:tcPr>
            <w:tcW w:w="1275" w:type="dxa"/>
            <w:tcBorders>
              <w:top w:val="nil"/>
              <w:left w:val="nil"/>
              <w:bottom w:val="single" w:sz="4" w:space="0" w:color="auto"/>
              <w:right w:val="single" w:sz="4" w:space="0" w:color="auto"/>
            </w:tcBorders>
            <w:shd w:val="clear" w:color="auto" w:fill="auto"/>
            <w:noWrap/>
            <w:vAlign w:val="center"/>
            <w:hideMark/>
          </w:tcPr>
          <w:p w14:paraId="6DFAB73A"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хил. лв.</w:t>
            </w:r>
          </w:p>
        </w:tc>
        <w:tc>
          <w:tcPr>
            <w:tcW w:w="1701" w:type="dxa"/>
            <w:tcBorders>
              <w:top w:val="nil"/>
              <w:left w:val="nil"/>
              <w:bottom w:val="single" w:sz="4" w:space="0" w:color="auto"/>
              <w:right w:val="single" w:sz="4" w:space="0" w:color="auto"/>
            </w:tcBorders>
            <w:shd w:val="clear" w:color="auto" w:fill="auto"/>
            <w:noWrap/>
          </w:tcPr>
          <w:p w14:paraId="21ACDF39" w14:textId="6BE04F0D"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r>
      <w:tr w:rsidR="00DC5311" w:rsidRPr="00724E64" w14:paraId="390EC34B" w14:textId="77777777" w:rsidTr="00BA4CF7">
        <w:trPr>
          <w:trHeight w:val="25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CF88742"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6.14.</w:t>
            </w:r>
          </w:p>
        </w:tc>
        <w:tc>
          <w:tcPr>
            <w:tcW w:w="5511" w:type="dxa"/>
            <w:tcBorders>
              <w:top w:val="nil"/>
              <w:left w:val="nil"/>
              <w:bottom w:val="single" w:sz="4" w:space="0" w:color="auto"/>
              <w:right w:val="single" w:sz="4" w:space="0" w:color="auto"/>
            </w:tcBorders>
            <w:shd w:val="clear" w:color="auto" w:fill="auto"/>
            <w:vAlign w:val="center"/>
            <w:hideMark/>
          </w:tcPr>
          <w:p w14:paraId="35699438" w14:textId="77777777" w:rsidR="00DC5311" w:rsidRPr="00724E64" w:rsidRDefault="00DC5311" w:rsidP="00DC5311">
            <w:pPr>
              <w:spacing w:after="0" w:line="240" w:lineRule="auto"/>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Такси организиран борсов пазар БНЕБ</w:t>
            </w:r>
          </w:p>
        </w:tc>
        <w:tc>
          <w:tcPr>
            <w:tcW w:w="1275" w:type="dxa"/>
            <w:tcBorders>
              <w:top w:val="nil"/>
              <w:left w:val="nil"/>
              <w:bottom w:val="single" w:sz="4" w:space="0" w:color="auto"/>
              <w:right w:val="single" w:sz="4" w:space="0" w:color="auto"/>
            </w:tcBorders>
            <w:shd w:val="clear" w:color="auto" w:fill="auto"/>
            <w:noWrap/>
            <w:vAlign w:val="center"/>
            <w:hideMark/>
          </w:tcPr>
          <w:p w14:paraId="2E67E663"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хил. лв.</w:t>
            </w:r>
          </w:p>
        </w:tc>
        <w:tc>
          <w:tcPr>
            <w:tcW w:w="1701" w:type="dxa"/>
            <w:tcBorders>
              <w:top w:val="nil"/>
              <w:left w:val="nil"/>
              <w:bottom w:val="single" w:sz="4" w:space="0" w:color="auto"/>
              <w:right w:val="single" w:sz="4" w:space="0" w:color="auto"/>
            </w:tcBorders>
            <w:shd w:val="clear" w:color="auto" w:fill="auto"/>
            <w:noWrap/>
          </w:tcPr>
          <w:p w14:paraId="4B208157" w14:textId="1745955E"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r>
      <w:tr w:rsidR="00DC5311" w:rsidRPr="00724E64" w14:paraId="52F1D91E" w14:textId="77777777" w:rsidTr="00BA4CF7">
        <w:trPr>
          <w:trHeight w:val="45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666E22D"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6.15.</w:t>
            </w:r>
          </w:p>
        </w:tc>
        <w:tc>
          <w:tcPr>
            <w:tcW w:w="5511" w:type="dxa"/>
            <w:tcBorders>
              <w:top w:val="nil"/>
              <w:left w:val="nil"/>
              <w:bottom w:val="single" w:sz="4" w:space="0" w:color="auto"/>
              <w:right w:val="single" w:sz="4" w:space="0" w:color="auto"/>
            </w:tcBorders>
            <w:shd w:val="clear" w:color="auto" w:fill="auto"/>
            <w:vAlign w:val="center"/>
            <w:hideMark/>
          </w:tcPr>
          <w:p w14:paraId="33FF883A" w14:textId="77777777" w:rsidR="00DC5311" w:rsidRPr="00724E64" w:rsidRDefault="00DC5311" w:rsidP="00DC5311">
            <w:pPr>
              <w:spacing w:after="0" w:line="240" w:lineRule="auto"/>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Разходи за балансир. енергия недостиг ЕСО</w:t>
            </w:r>
          </w:p>
        </w:tc>
        <w:tc>
          <w:tcPr>
            <w:tcW w:w="1275" w:type="dxa"/>
            <w:tcBorders>
              <w:top w:val="nil"/>
              <w:left w:val="nil"/>
              <w:bottom w:val="single" w:sz="4" w:space="0" w:color="auto"/>
              <w:right w:val="single" w:sz="4" w:space="0" w:color="auto"/>
            </w:tcBorders>
            <w:shd w:val="clear" w:color="auto" w:fill="auto"/>
            <w:noWrap/>
            <w:vAlign w:val="center"/>
            <w:hideMark/>
          </w:tcPr>
          <w:p w14:paraId="6D19F588"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хил. лв.</w:t>
            </w:r>
          </w:p>
        </w:tc>
        <w:tc>
          <w:tcPr>
            <w:tcW w:w="1701" w:type="dxa"/>
            <w:tcBorders>
              <w:top w:val="nil"/>
              <w:left w:val="nil"/>
              <w:bottom w:val="single" w:sz="4" w:space="0" w:color="auto"/>
              <w:right w:val="single" w:sz="4" w:space="0" w:color="auto"/>
            </w:tcBorders>
            <w:shd w:val="clear" w:color="auto" w:fill="auto"/>
            <w:noWrap/>
          </w:tcPr>
          <w:p w14:paraId="0401C511" w14:textId="63800380"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r>
      <w:tr w:rsidR="00DC5311" w:rsidRPr="00724E64" w14:paraId="0DE3EA03" w14:textId="77777777" w:rsidTr="00BA4CF7">
        <w:trPr>
          <w:trHeight w:val="45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32339BA"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6.16.</w:t>
            </w:r>
          </w:p>
        </w:tc>
        <w:tc>
          <w:tcPr>
            <w:tcW w:w="5511" w:type="dxa"/>
            <w:tcBorders>
              <w:top w:val="nil"/>
              <w:left w:val="nil"/>
              <w:bottom w:val="single" w:sz="4" w:space="0" w:color="auto"/>
              <w:right w:val="single" w:sz="4" w:space="0" w:color="auto"/>
            </w:tcBorders>
            <w:shd w:val="clear" w:color="auto" w:fill="auto"/>
            <w:vAlign w:val="center"/>
            <w:hideMark/>
          </w:tcPr>
          <w:p w14:paraId="196A68A4" w14:textId="77777777" w:rsidR="00DC5311" w:rsidRPr="00724E64" w:rsidRDefault="00DC5311" w:rsidP="00DC5311">
            <w:pPr>
              <w:spacing w:after="0" w:line="240" w:lineRule="auto"/>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Разходи за регулиране надолу ЕСО</w:t>
            </w:r>
          </w:p>
        </w:tc>
        <w:tc>
          <w:tcPr>
            <w:tcW w:w="1275" w:type="dxa"/>
            <w:tcBorders>
              <w:top w:val="nil"/>
              <w:left w:val="nil"/>
              <w:bottom w:val="single" w:sz="4" w:space="0" w:color="auto"/>
              <w:right w:val="single" w:sz="4" w:space="0" w:color="auto"/>
            </w:tcBorders>
            <w:shd w:val="clear" w:color="auto" w:fill="auto"/>
            <w:noWrap/>
            <w:vAlign w:val="center"/>
            <w:hideMark/>
          </w:tcPr>
          <w:p w14:paraId="223D2DC7" w14:textId="77777777"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sidRPr="00724E64">
              <w:rPr>
                <w:rFonts w:ascii="Times New Roman" w:eastAsia="Times New Roman" w:hAnsi="Times New Roman" w:cs="Times New Roman"/>
                <w:sz w:val="18"/>
                <w:szCs w:val="18"/>
                <w:lang w:eastAsia="bg-BG"/>
              </w:rPr>
              <w:t>хил. лв.</w:t>
            </w:r>
          </w:p>
        </w:tc>
        <w:tc>
          <w:tcPr>
            <w:tcW w:w="1701" w:type="dxa"/>
            <w:tcBorders>
              <w:top w:val="nil"/>
              <w:left w:val="nil"/>
              <w:bottom w:val="single" w:sz="4" w:space="0" w:color="auto"/>
              <w:right w:val="single" w:sz="4" w:space="0" w:color="auto"/>
            </w:tcBorders>
            <w:shd w:val="clear" w:color="auto" w:fill="auto"/>
            <w:noWrap/>
          </w:tcPr>
          <w:p w14:paraId="6A1A4C09" w14:textId="411322DC" w:rsidR="00DC5311" w:rsidRPr="00724E64" w:rsidRDefault="00DC5311" w:rsidP="00DC5311">
            <w:pPr>
              <w:spacing w:after="0" w:line="240" w:lineRule="auto"/>
              <w:jc w:val="center"/>
              <w:rPr>
                <w:rFonts w:ascii="Times New Roman" w:eastAsia="Times New Roman" w:hAnsi="Times New Roman" w:cs="Times New Roman"/>
                <w:sz w:val="18"/>
                <w:szCs w:val="18"/>
                <w:lang w:eastAsia="bg-BG"/>
              </w:rPr>
            </w:pPr>
            <w:r>
              <w:rPr>
                <w:rFonts w:ascii="Times New Roman" w:eastAsia="Times New Roman" w:hAnsi="Times New Roman" w:cs="Times New Roman"/>
                <w:sz w:val="20"/>
                <w:szCs w:val="20"/>
                <w:lang w:eastAsia="bg-BG"/>
              </w:rPr>
              <w:t>………………</w:t>
            </w:r>
          </w:p>
        </w:tc>
      </w:tr>
    </w:tbl>
    <w:p w14:paraId="381FA091" w14:textId="77777777" w:rsidR="00724E64" w:rsidRDefault="00724E64" w:rsidP="003D51C0">
      <w:pPr>
        <w:spacing w:after="120" w:line="240" w:lineRule="auto"/>
        <w:jc w:val="both"/>
        <w:rPr>
          <w:rFonts w:ascii="Times New Roman" w:eastAsia="Times New Roman" w:hAnsi="Times New Roman" w:cs="Times New Roman"/>
          <w:sz w:val="24"/>
          <w:szCs w:val="24"/>
          <w:lang w:eastAsia="bg-BG"/>
        </w:rPr>
      </w:pPr>
    </w:p>
    <w:p w14:paraId="4F4EB083" w14:textId="41D9F7CF" w:rsidR="00CD2195" w:rsidRDefault="00CD2195" w:rsidP="003D51C0">
      <w:pPr>
        <w:spacing w:after="120" w:line="240" w:lineRule="auto"/>
        <w:jc w:val="both"/>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lang w:eastAsia="bg-BG"/>
        </w:rPr>
        <w:t xml:space="preserve">За новия регулаторен период в тази </w:t>
      </w:r>
      <w:r w:rsidR="00641066">
        <w:rPr>
          <w:rFonts w:ascii="Times New Roman" w:eastAsia="Times New Roman" w:hAnsi="Times New Roman" w:cs="Times New Roman"/>
          <w:sz w:val="24"/>
          <w:szCs w:val="24"/>
          <w:lang w:eastAsia="bg-BG"/>
        </w:rPr>
        <w:t xml:space="preserve">група разходи са включени </w:t>
      </w:r>
      <w:r w:rsidR="00DC5311">
        <w:rPr>
          <w:rFonts w:ascii="Times New Roman" w:eastAsia="Times New Roman" w:hAnsi="Times New Roman" w:cs="Times New Roman"/>
          <w:sz w:val="24"/>
          <w:szCs w:val="24"/>
          <w:lang w:eastAsia="bg-BG"/>
        </w:rPr>
        <w:t>………</w:t>
      </w:r>
      <w:r w:rsidRPr="00641066">
        <w:rPr>
          <w:rFonts w:ascii="Times New Roman" w:eastAsia="Times New Roman" w:hAnsi="Times New Roman" w:cs="Times New Roman"/>
          <w:b/>
          <w:sz w:val="24"/>
          <w:szCs w:val="24"/>
          <w:lang w:eastAsia="bg-BG"/>
        </w:rPr>
        <w:t xml:space="preserve"> хил. лв.</w:t>
      </w:r>
      <w:r>
        <w:rPr>
          <w:rFonts w:ascii="Times New Roman" w:eastAsia="Times New Roman" w:hAnsi="Times New Roman" w:cs="Times New Roman"/>
          <w:sz w:val="24"/>
          <w:szCs w:val="24"/>
          <w:lang w:eastAsia="bg-BG"/>
        </w:rPr>
        <w:t>, като с основна значимост са вноските във ФСЕЕС</w:t>
      </w:r>
      <w:r w:rsidR="00DB048A">
        <w:rPr>
          <w:rFonts w:ascii="Times New Roman" w:eastAsia="Times New Roman" w:hAnsi="Times New Roman" w:cs="Times New Roman"/>
          <w:sz w:val="24"/>
          <w:szCs w:val="24"/>
          <w:lang w:eastAsia="bg-BG"/>
        </w:rPr>
        <w:t xml:space="preserve"> по чл.36е от ЗЕ</w:t>
      </w:r>
      <w:r>
        <w:rPr>
          <w:rFonts w:ascii="Times New Roman" w:eastAsia="Times New Roman" w:hAnsi="Times New Roman" w:cs="Times New Roman"/>
          <w:sz w:val="24"/>
          <w:szCs w:val="24"/>
          <w:lang w:eastAsia="bg-BG"/>
        </w:rPr>
        <w:t xml:space="preserve"> – </w:t>
      </w:r>
      <w:r w:rsidR="00DC5311">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 xml:space="preserve"> хил. лв. и разходите, </w:t>
      </w:r>
      <w:r w:rsidR="00D308DB">
        <w:rPr>
          <w:rFonts w:ascii="Times New Roman" w:eastAsia="Times New Roman" w:hAnsi="Times New Roman" w:cs="Times New Roman"/>
          <w:sz w:val="24"/>
          <w:szCs w:val="24"/>
          <w:lang w:eastAsia="bg-BG"/>
        </w:rPr>
        <w:t>с</w:t>
      </w:r>
      <w:r>
        <w:rPr>
          <w:rFonts w:ascii="Times New Roman" w:eastAsia="Times New Roman" w:hAnsi="Times New Roman" w:cs="Times New Roman"/>
          <w:sz w:val="24"/>
          <w:szCs w:val="24"/>
          <w:lang w:eastAsia="bg-BG"/>
        </w:rPr>
        <w:t xml:space="preserve">вързани с цената за достъп до </w:t>
      </w:r>
      <w:r w:rsidR="00641066">
        <w:rPr>
          <w:rFonts w:ascii="Times New Roman" w:eastAsia="Times New Roman" w:hAnsi="Times New Roman" w:cs="Times New Roman"/>
          <w:sz w:val="24"/>
          <w:szCs w:val="24"/>
          <w:lang w:eastAsia="bg-BG"/>
        </w:rPr>
        <w:t>електропре</w:t>
      </w:r>
      <w:r w:rsidR="00B10194">
        <w:rPr>
          <w:rFonts w:ascii="Times New Roman" w:eastAsia="Times New Roman" w:hAnsi="Times New Roman" w:cs="Times New Roman"/>
          <w:sz w:val="24"/>
          <w:szCs w:val="24"/>
          <w:lang w:eastAsia="bg-BG"/>
        </w:rPr>
        <w:t xml:space="preserve">носната мрежа – </w:t>
      </w:r>
      <w:r w:rsidR="00DC5311">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 xml:space="preserve"> хил. лв. </w:t>
      </w:r>
      <w:r w:rsidRPr="00CD2195">
        <w:rPr>
          <w:rFonts w:ascii="Times New Roman" w:eastAsia="Times New Roman" w:hAnsi="Times New Roman" w:cs="Times New Roman"/>
          <w:b/>
          <w:sz w:val="24"/>
          <w:szCs w:val="24"/>
          <w:lang w:eastAsia="bg-BG"/>
        </w:rPr>
        <w:t>Общата стойност н</w:t>
      </w:r>
      <w:r w:rsidR="00641066">
        <w:rPr>
          <w:rFonts w:ascii="Times New Roman" w:eastAsia="Times New Roman" w:hAnsi="Times New Roman" w:cs="Times New Roman"/>
          <w:b/>
          <w:sz w:val="24"/>
          <w:szCs w:val="24"/>
          <w:lang w:eastAsia="bg-BG"/>
        </w:rPr>
        <w:t xml:space="preserve">а тези два вида разходи е </w:t>
      </w:r>
      <w:r w:rsidR="00DC5311">
        <w:rPr>
          <w:rFonts w:ascii="Times New Roman" w:eastAsia="Times New Roman" w:hAnsi="Times New Roman" w:cs="Times New Roman"/>
          <w:b/>
          <w:sz w:val="24"/>
          <w:szCs w:val="24"/>
          <w:lang w:eastAsia="bg-BG"/>
        </w:rPr>
        <w:t>……….</w:t>
      </w:r>
      <w:r w:rsidR="00724E64">
        <w:rPr>
          <w:rFonts w:ascii="Times New Roman" w:eastAsia="Times New Roman" w:hAnsi="Times New Roman" w:cs="Times New Roman"/>
          <w:b/>
          <w:sz w:val="24"/>
          <w:szCs w:val="24"/>
          <w:lang w:eastAsia="bg-BG"/>
        </w:rPr>
        <w:t xml:space="preserve"> </w:t>
      </w:r>
      <w:r w:rsidRPr="00CD2195">
        <w:rPr>
          <w:rFonts w:ascii="Times New Roman" w:eastAsia="Times New Roman" w:hAnsi="Times New Roman" w:cs="Times New Roman"/>
          <w:b/>
          <w:sz w:val="24"/>
          <w:szCs w:val="24"/>
          <w:lang w:eastAsia="bg-BG"/>
        </w:rPr>
        <w:t xml:space="preserve">хил. лв., която увеличава </w:t>
      </w:r>
      <w:r w:rsidRPr="00CD2195">
        <w:rPr>
          <w:rFonts w:ascii="Times New Roman" w:eastAsia="Times New Roman" w:hAnsi="Times New Roman" w:cs="Times New Roman"/>
          <w:b/>
          <w:sz w:val="24"/>
          <w:szCs w:val="24"/>
          <w:lang w:eastAsia="bg-BG"/>
        </w:rPr>
        <w:lastRenderedPageBreak/>
        <w:t>себестойността на произвежда</w:t>
      </w:r>
      <w:r w:rsidR="00641066">
        <w:rPr>
          <w:rFonts w:ascii="Times New Roman" w:eastAsia="Times New Roman" w:hAnsi="Times New Roman" w:cs="Times New Roman"/>
          <w:b/>
          <w:sz w:val="24"/>
          <w:szCs w:val="24"/>
          <w:lang w:eastAsia="bg-BG"/>
        </w:rPr>
        <w:t xml:space="preserve">ната електрическа енергия с </w:t>
      </w:r>
      <w:r w:rsidR="00DC5311">
        <w:rPr>
          <w:rFonts w:ascii="Times New Roman" w:eastAsia="Times New Roman" w:hAnsi="Times New Roman" w:cs="Times New Roman"/>
          <w:b/>
          <w:sz w:val="24"/>
          <w:szCs w:val="24"/>
          <w:lang w:eastAsia="bg-BG"/>
        </w:rPr>
        <w:t>…………</w:t>
      </w:r>
      <w:r w:rsidRPr="00CD2195">
        <w:rPr>
          <w:rFonts w:ascii="Times New Roman" w:eastAsia="Times New Roman" w:hAnsi="Times New Roman" w:cs="Times New Roman"/>
          <w:b/>
          <w:sz w:val="24"/>
          <w:szCs w:val="24"/>
          <w:lang w:eastAsia="bg-BG"/>
        </w:rPr>
        <w:t xml:space="preserve"> лв./</w:t>
      </w:r>
      <w:proofErr w:type="spellStart"/>
      <w:r w:rsidRPr="00CD2195">
        <w:rPr>
          <w:rFonts w:ascii="Times New Roman" w:eastAsia="Times New Roman" w:hAnsi="Times New Roman" w:cs="Times New Roman"/>
          <w:b/>
          <w:sz w:val="24"/>
          <w:szCs w:val="24"/>
          <w:lang w:eastAsia="bg-BG"/>
        </w:rPr>
        <w:t>МВтч</w:t>
      </w:r>
      <w:proofErr w:type="spellEnd"/>
      <w:r w:rsidR="00993013">
        <w:rPr>
          <w:rFonts w:ascii="Times New Roman" w:eastAsia="Times New Roman" w:hAnsi="Times New Roman" w:cs="Times New Roman"/>
          <w:b/>
          <w:sz w:val="24"/>
          <w:szCs w:val="24"/>
          <w:lang w:eastAsia="bg-BG"/>
        </w:rPr>
        <w:t>, които обаче не се признават в цената на енергията за регулирания пазар</w:t>
      </w:r>
      <w:r w:rsidRPr="00CD2195">
        <w:rPr>
          <w:rFonts w:ascii="Times New Roman" w:eastAsia="Times New Roman" w:hAnsi="Times New Roman" w:cs="Times New Roman"/>
          <w:b/>
          <w:sz w:val="24"/>
          <w:szCs w:val="24"/>
          <w:lang w:eastAsia="bg-BG"/>
        </w:rPr>
        <w:t>.</w:t>
      </w:r>
    </w:p>
    <w:p w14:paraId="788A6299" w14:textId="694E4EFC" w:rsidR="00CD2195" w:rsidRPr="00CD2195" w:rsidRDefault="00A8412F" w:rsidP="003D51C0">
      <w:pPr>
        <w:spacing w:after="120" w:line="240" w:lineRule="auto"/>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4.</w:t>
      </w:r>
      <w:r w:rsidRPr="00A8412F">
        <w:rPr>
          <w:rFonts w:ascii="Times New Roman" w:eastAsia="Times New Roman" w:hAnsi="Times New Roman" w:cs="Times New Roman"/>
          <w:b/>
          <w:sz w:val="24"/>
          <w:szCs w:val="24"/>
          <w:lang w:eastAsia="bg-BG"/>
        </w:rPr>
        <w:t xml:space="preserve"> </w:t>
      </w:r>
      <w:r w:rsidR="00CD2195" w:rsidRPr="00CD2195">
        <w:rPr>
          <w:rFonts w:ascii="Times New Roman" w:eastAsia="Times New Roman" w:hAnsi="Times New Roman" w:cs="Times New Roman"/>
          <w:b/>
          <w:sz w:val="24"/>
          <w:szCs w:val="24"/>
          <w:lang w:eastAsia="bg-BG"/>
        </w:rPr>
        <w:t xml:space="preserve"> Регулаторна база на активите и норма на възвръщаемост на капитала</w:t>
      </w:r>
    </w:p>
    <w:p w14:paraId="39D716CC" w14:textId="686BEC52" w:rsidR="00CD2195" w:rsidRPr="00A8412F" w:rsidRDefault="00A8412F" w:rsidP="003D51C0">
      <w:pPr>
        <w:spacing w:after="120" w:line="240" w:lineRule="auto"/>
        <w:ind w:left="360"/>
        <w:jc w:val="both"/>
        <w:rPr>
          <w:rFonts w:ascii="Times New Roman" w:eastAsia="Times New Roman" w:hAnsi="Times New Roman" w:cs="Times New Roman"/>
          <w:b/>
          <w:sz w:val="24"/>
          <w:szCs w:val="24"/>
          <w:lang w:eastAsia="bg-BG"/>
        </w:rPr>
      </w:pPr>
      <w:r w:rsidRPr="00A8412F">
        <w:rPr>
          <w:rFonts w:ascii="Times New Roman" w:eastAsia="Times New Roman" w:hAnsi="Times New Roman" w:cs="Times New Roman"/>
          <w:b/>
          <w:sz w:val="24"/>
          <w:szCs w:val="24"/>
          <w:lang w:val="en-US" w:eastAsia="bg-BG"/>
        </w:rPr>
        <w:t xml:space="preserve">4.1. </w:t>
      </w:r>
      <w:r w:rsidR="00CD2195" w:rsidRPr="00A8412F">
        <w:rPr>
          <w:rFonts w:ascii="Times New Roman" w:eastAsia="Times New Roman" w:hAnsi="Times New Roman" w:cs="Times New Roman"/>
          <w:b/>
          <w:sz w:val="24"/>
          <w:szCs w:val="24"/>
          <w:lang w:eastAsia="bg-BG"/>
        </w:rPr>
        <w:t>Регулаторна база на активите</w:t>
      </w:r>
    </w:p>
    <w:p w14:paraId="0BE8D617" w14:textId="3117D804" w:rsidR="00CD2195" w:rsidRPr="00CD2195" w:rsidRDefault="00CD2195">
      <w:pPr>
        <w:spacing w:after="120" w:line="240" w:lineRule="auto"/>
        <w:jc w:val="both"/>
        <w:outlineLvl w:val="0"/>
        <w:rPr>
          <w:rFonts w:ascii="Times New Roman" w:eastAsia="Times New Roman" w:hAnsi="Times New Roman" w:cs="Times New Roman"/>
          <w:bCs/>
          <w:sz w:val="24"/>
          <w:szCs w:val="24"/>
        </w:rPr>
      </w:pPr>
      <w:r w:rsidRPr="00CD2195">
        <w:rPr>
          <w:rFonts w:ascii="Times New Roman" w:eastAsia="Times New Roman" w:hAnsi="Times New Roman" w:cs="Times New Roman"/>
          <w:bCs/>
          <w:sz w:val="24"/>
          <w:szCs w:val="24"/>
        </w:rPr>
        <w:t xml:space="preserve">Изчислената регулаторна база на активите възлиза на </w:t>
      </w:r>
      <w:r w:rsidR="00DC5311">
        <w:rPr>
          <w:rFonts w:ascii="Times New Roman" w:eastAsia="Times New Roman" w:hAnsi="Times New Roman" w:cs="Times New Roman"/>
          <w:bCs/>
          <w:sz w:val="24"/>
          <w:szCs w:val="24"/>
        </w:rPr>
        <w:t>…………..</w:t>
      </w:r>
      <w:r w:rsidRPr="00CD2195">
        <w:rPr>
          <w:rFonts w:ascii="Times New Roman" w:eastAsia="Times New Roman" w:hAnsi="Times New Roman" w:cs="Times New Roman"/>
          <w:b/>
          <w:bCs/>
          <w:sz w:val="24"/>
          <w:szCs w:val="24"/>
        </w:rPr>
        <w:t xml:space="preserve"> хил.</w:t>
      </w:r>
      <w:r w:rsidR="00257C90">
        <w:rPr>
          <w:rFonts w:ascii="Times New Roman" w:eastAsia="Times New Roman" w:hAnsi="Times New Roman" w:cs="Times New Roman"/>
          <w:b/>
          <w:bCs/>
          <w:sz w:val="24"/>
          <w:szCs w:val="24"/>
        </w:rPr>
        <w:t xml:space="preserve"> </w:t>
      </w:r>
      <w:r w:rsidRPr="00CD2195">
        <w:rPr>
          <w:rFonts w:ascii="Times New Roman" w:eastAsia="Times New Roman" w:hAnsi="Times New Roman" w:cs="Times New Roman"/>
          <w:b/>
          <w:bCs/>
          <w:sz w:val="24"/>
          <w:szCs w:val="24"/>
        </w:rPr>
        <w:t>лв</w:t>
      </w:r>
      <w:r w:rsidRPr="00CD2195">
        <w:rPr>
          <w:rFonts w:ascii="Times New Roman" w:eastAsia="Times New Roman" w:hAnsi="Times New Roman" w:cs="Times New Roman"/>
          <w:bCs/>
          <w:sz w:val="24"/>
          <w:szCs w:val="24"/>
        </w:rPr>
        <w:t>. Представена е и информация за разпределение на активите по блокове с № 1- 8.</w:t>
      </w:r>
    </w:p>
    <w:p w14:paraId="3F227661" w14:textId="09795B6C" w:rsidR="00CD2195" w:rsidRPr="00CD2195" w:rsidRDefault="00CD2195">
      <w:pPr>
        <w:spacing w:after="120" w:line="240" w:lineRule="auto"/>
        <w:jc w:val="both"/>
        <w:outlineLvl w:val="0"/>
        <w:rPr>
          <w:rFonts w:ascii="Times New Roman" w:eastAsia="Times New Roman" w:hAnsi="Times New Roman" w:cs="Times New Roman"/>
          <w:b/>
          <w:bCs/>
          <w:sz w:val="24"/>
          <w:szCs w:val="24"/>
        </w:rPr>
      </w:pPr>
      <w:r w:rsidRPr="00CD2195">
        <w:rPr>
          <w:rFonts w:ascii="Times New Roman" w:eastAsia="Times New Roman" w:hAnsi="Times New Roman" w:cs="Times New Roman"/>
          <w:bCs/>
          <w:sz w:val="24"/>
          <w:szCs w:val="24"/>
        </w:rPr>
        <w:t>Включеният Необходим оборотен капитал /НОК/ е изчислен в съответствие с т.</w:t>
      </w:r>
      <w:r w:rsidR="00257C90">
        <w:rPr>
          <w:rFonts w:ascii="Times New Roman" w:eastAsia="Times New Roman" w:hAnsi="Times New Roman" w:cs="Times New Roman"/>
          <w:bCs/>
          <w:sz w:val="24"/>
          <w:szCs w:val="24"/>
        </w:rPr>
        <w:t xml:space="preserve"> </w:t>
      </w:r>
      <w:r w:rsidRPr="00CD2195">
        <w:rPr>
          <w:rFonts w:ascii="Times New Roman" w:eastAsia="Times New Roman" w:hAnsi="Times New Roman" w:cs="Times New Roman"/>
          <w:bCs/>
          <w:sz w:val="24"/>
          <w:szCs w:val="24"/>
        </w:rPr>
        <w:t xml:space="preserve">24.2 от Указанията е приета минималната стойност, която може да се признае, а именно не по-висока стойност от 1/8 от </w:t>
      </w:r>
      <w:r w:rsidR="00101885">
        <w:rPr>
          <w:rFonts w:ascii="Times New Roman" w:eastAsia="Times New Roman" w:hAnsi="Times New Roman" w:cs="Times New Roman"/>
          <w:bCs/>
          <w:sz w:val="24"/>
          <w:szCs w:val="24"/>
        </w:rPr>
        <w:t xml:space="preserve"> </w:t>
      </w:r>
      <w:r w:rsidRPr="00CD2195">
        <w:rPr>
          <w:rFonts w:ascii="Times New Roman" w:eastAsia="Times New Roman" w:hAnsi="Times New Roman" w:cs="Times New Roman"/>
          <w:bCs/>
          <w:sz w:val="24"/>
          <w:szCs w:val="24"/>
        </w:rPr>
        <w:t>утвърдените годишни оперативни парични разходи за дейността/</w:t>
      </w:r>
      <w:proofErr w:type="spellStart"/>
      <w:r w:rsidRPr="00CD2195">
        <w:rPr>
          <w:rFonts w:ascii="Times New Roman" w:eastAsia="Times New Roman" w:hAnsi="Times New Roman" w:cs="Times New Roman"/>
          <w:bCs/>
          <w:sz w:val="24"/>
          <w:szCs w:val="24"/>
        </w:rPr>
        <w:t>ите</w:t>
      </w:r>
      <w:proofErr w:type="spellEnd"/>
      <w:r w:rsidRPr="00CD2195">
        <w:rPr>
          <w:rFonts w:ascii="Times New Roman" w:eastAsia="Times New Roman" w:hAnsi="Times New Roman" w:cs="Times New Roman"/>
          <w:bCs/>
          <w:sz w:val="24"/>
          <w:szCs w:val="24"/>
        </w:rPr>
        <w:t xml:space="preserve">, като не се включват разходи за амортизации  и </w:t>
      </w:r>
      <w:r w:rsidR="005623EA">
        <w:rPr>
          <w:rFonts w:ascii="Times New Roman" w:eastAsia="Times New Roman" w:hAnsi="Times New Roman" w:cs="Times New Roman"/>
          <w:bCs/>
          <w:sz w:val="24"/>
          <w:szCs w:val="24"/>
        </w:rPr>
        <w:t>е</w:t>
      </w:r>
      <w:r w:rsidR="005623EA" w:rsidRPr="00CD2195">
        <w:rPr>
          <w:rFonts w:ascii="Times New Roman" w:eastAsia="Times New Roman" w:hAnsi="Times New Roman" w:cs="Times New Roman"/>
          <w:bCs/>
          <w:sz w:val="24"/>
          <w:szCs w:val="24"/>
        </w:rPr>
        <w:t xml:space="preserve"> </w:t>
      </w:r>
      <w:r w:rsidRPr="00CD2195">
        <w:rPr>
          <w:rFonts w:ascii="Times New Roman" w:eastAsia="Times New Roman" w:hAnsi="Times New Roman" w:cs="Times New Roman"/>
          <w:bCs/>
          <w:sz w:val="24"/>
          <w:szCs w:val="24"/>
        </w:rPr>
        <w:t xml:space="preserve">в размер на </w:t>
      </w:r>
      <w:r w:rsidR="00DC5311">
        <w:rPr>
          <w:rFonts w:ascii="Times New Roman" w:eastAsia="Times New Roman" w:hAnsi="Times New Roman" w:cs="Times New Roman"/>
          <w:bCs/>
          <w:sz w:val="24"/>
          <w:szCs w:val="24"/>
        </w:rPr>
        <w:t>………..</w:t>
      </w:r>
      <w:r w:rsidRPr="00CD2195">
        <w:rPr>
          <w:rFonts w:ascii="Times New Roman" w:eastAsia="Times New Roman" w:hAnsi="Times New Roman" w:cs="Times New Roman"/>
          <w:b/>
          <w:bCs/>
          <w:sz w:val="24"/>
          <w:szCs w:val="24"/>
        </w:rPr>
        <w:t xml:space="preserve"> хил.</w:t>
      </w:r>
      <w:r w:rsidR="00257C90">
        <w:rPr>
          <w:rFonts w:ascii="Times New Roman" w:eastAsia="Times New Roman" w:hAnsi="Times New Roman" w:cs="Times New Roman"/>
          <w:b/>
          <w:bCs/>
          <w:sz w:val="24"/>
          <w:szCs w:val="24"/>
        </w:rPr>
        <w:t xml:space="preserve"> </w:t>
      </w:r>
      <w:r w:rsidRPr="00CD2195">
        <w:rPr>
          <w:rFonts w:ascii="Times New Roman" w:eastAsia="Times New Roman" w:hAnsi="Times New Roman" w:cs="Times New Roman"/>
          <w:b/>
          <w:bCs/>
          <w:sz w:val="24"/>
          <w:szCs w:val="24"/>
        </w:rPr>
        <w:t>лв.</w:t>
      </w:r>
    </w:p>
    <w:p w14:paraId="014998E2" w14:textId="5FD25602" w:rsidR="00CD2195" w:rsidRPr="00800C45" w:rsidRDefault="006D7C7F">
      <w:pPr>
        <w:spacing w:after="120" w:line="240" w:lineRule="auto"/>
        <w:ind w:left="360"/>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4.2.</w:t>
      </w:r>
      <w:r w:rsidR="00A8412F" w:rsidRPr="00800C45">
        <w:rPr>
          <w:rFonts w:ascii="Times New Roman" w:eastAsia="Times New Roman" w:hAnsi="Times New Roman" w:cs="Times New Roman"/>
          <w:b/>
          <w:sz w:val="24"/>
          <w:szCs w:val="24"/>
          <w:lang w:eastAsia="bg-BG"/>
        </w:rPr>
        <w:t xml:space="preserve"> </w:t>
      </w:r>
      <w:r w:rsidR="00CD2195" w:rsidRPr="00800C45">
        <w:rPr>
          <w:rFonts w:ascii="Times New Roman" w:eastAsia="Times New Roman" w:hAnsi="Times New Roman" w:cs="Times New Roman"/>
          <w:b/>
          <w:sz w:val="24"/>
          <w:szCs w:val="24"/>
          <w:lang w:eastAsia="bg-BG"/>
        </w:rPr>
        <w:t>Норма на възвръщаемост на капитала</w:t>
      </w:r>
    </w:p>
    <w:p w14:paraId="537527A4" w14:textId="6F84B541" w:rsidR="00733091" w:rsidRDefault="00257C90" w:rsidP="00B57AFB">
      <w:pPr>
        <w:spacing w:line="240" w:lineRule="auto"/>
        <w:ind w:firstLine="708"/>
        <w:jc w:val="both"/>
        <w:rPr>
          <w:rFonts w:ascii="Times New Roman" w:hAnsi="Times New Roman" w:cs="Times New Roman"/>
          <w:sz w:val="24"/>
          <w:szCs w:val="24"/>
        </w:rPr>
      </w:pPr>
      <w:r w:rsidRPr="00257C90">
        <w:rPr>
          <w:rFonts w:ascii="Times New Roman" w:eastAsia="Times New Roman" w:hAnsi="Times New Roman" w:cs="Times New Roman"/>
          <w:sz w:val="24"/>
          <w:szCs w:val="24"/>
          <w:lang w:eastAsia="bg-BG"/>
        </w:rPr>
        <w:t>Използваната норма на възвръщаемост на собствения капитал НВ</w:t>
      </w:r>
      <w:r w:rsidRPr="00257C90">
        <w:rPr>
          <w:rFonts w:ascii="Times New Roman" w:eastAsia="Times New Roman" w:hAnsi="Times New Roman" w:cs="Times New Roman"/>
          <w:sz w:val="24"/>
          <w:szCs w:val="24"/>
          <w:vertAlign w:val="subscript"/>
          <w:lang w:eastAsia="bg-BG"/>
        </w:rPr>
        <w:t>ск</w:t>
      </w:r>
      <w:r w:rsidRPr="00257C90">
        <w:rPr>
          <w:rFonts w:ascii="Times New Roman" w:eastAsia="Times New Roman" w:hAnsi="Times New Roman" w:cs="Times New Roman"/>
          <w:sz w:val="24"/>
          <w:szCs w:val="24"/>
          <w:lang w:eastAsia="bg-BG"/>
        </w:rPr>
        <w:t xml:space="preserve"> за определяне на цената за разполагаемос</w:t>
      </w:r>
      <w:r w:rsidR="00101885">
        <w:rPr>
          <w:rFonts w:ascii="Times New Roman" w:eastAsia="Times New Roman" w:hAnsi="Times New Roman" w:cs="Times New Roman"/>
          <w:sz w:val="24"/>
          <w:szCs w:val="24"/>
          <w:lang w:eastAsia="bg-BG"/>
        </w:rPr>
        <w:t xml:space="preserve">т е в размер на </w:t>
      </w:r>
      <w:r w:rsidR="00DC5311">
        <w:rPr>
          <w:rFonts w:ascii="Times New Roman" w:eastAsia="Times New Roman" w:hAnsi="Times New Roman" w:cs="Times New Roman"/>
          <w:sz w:val="24"/>
          <w:szCs w:val="24"/>
          <w:lang w:eastAsia="bg-BG"/>
        </w:rPr>
        <w:t>……</w:t>
      </w:r>
      <w:r w:rsidRPr="00257C90">
        <w:rPr>
          <w:rFonts w:ascii="Times New Roman" w:eastAsia="Times New Roman" w:hAnsi="Times New Roman" w:cs="Times New Roman"/>
          <w:sz w:val="24"/>
          <w:szCs w:val="24"/>
          <w:lang w:eastAsia="bg-BG"/>
        </w:rPr>
        <w:t xml:space="preserve">%. Среднопретеглената цена на капитала е </w:t>
      </w:r>
      <w:r w:rsidR="00DC5311">
        <w:rPr>
          <w:rFonts w:ascii="Times New Roman" w:eastAsia="Times New Roman" w:hAnsi="Times New Roman" w:cs="Times New Roman"/>
          <w:sz w:val="24"/>
          <w:szCs w:val="24"/>
          <w:lang w:eastAsia="bg-BG"/>
        </w:rPr>
        <w:t>…….</w:t>
      </w:r>
      <w:r w:rsidR="00641066">
        <w:rPr>
          <w:rFonts w:ascii="Times New Roman" w:eastAsia="Times New Roman" w:hAnsi="Times New Roman" w:cs="Times New Roman"/>
          <w:sz w:val="24"/>
          <w:szCs w:val="24"/>
          <w:lang w:eastAsia="bg-BG"/>
        </w:rPr>
        <w:t xml:space="preserve"> </w:t>
      </w:r>
      <w:r w:rsidRPr="00257C90">
        <w:rPr>
          <w:rFonts w:ascii="Times New Roman" w:eastAsia="Times New Roman" w:hAnsi="Times New Roman" w:cs="Times New Roman"/>
          <w:sz w:val="24"/>
          <w:szCs w:val="24"/>
          <w:lang w:eastAsia="bg-BG"/>
        </w:rPr>
        <w:t>% и се формира по утвърдената методика с Наредба № 1.</w:t>
      </w:r>
      <w:r w:rsidR="00733091">
        <w:rPr>
          <w:rFonts w:ascii="Times New Roman" w:hAnsi="Times New Roman" w:cs="Times New Roman"/>
          <w:sz w:val="24"/>
          <w:szCs w:val="24"/>
        </w:rPr>
        <w:t xml:space="preserve"> </w:t>
      </w:r>
    </w:p>
    <w:p w14:paraId="5C93DFA2" w14:textId="77777777" w:rsidR="009461F9" w:rsidRDefault="009461F9" w:rsidP="00B57AFB">
      <w:pPr>
        <w:spacing w:line="240" w:lineRule="auto"/>
        <w:ind w:firstLine="708"/>
        <w:jc w:val="both"/>
        <w:rPr>
          <w:rFonts w:ascii="Times New Roman" w:hAnsi="Times New Roman" w:cs="Times New Roman"/>
          <w:sz w:val="24"/>
          <w:szCs w:val="24"/>
        </w:rPr>
      </w:pPr>
    </w:p>
    <w:p w14:paraId="0A5B2ED0" w14:textId="2EE49768" w:rsidR="00A8412F" w:rsidRPr="004356D9" w:rsidRDefault="00A8412F" w:rsidP="003D51C0">
      <w:pPr>
        <w:pStyle w:val="ListParagraph"/>
        <w:numPr>
          <w:ilvl w:val="0"/>
          <w:numId w:val="27"/>
        </w:numPr>
        <w:spacing w:after="120" w:line="240" w:lineRule="auto"/>
        <w:rPr>
          <w:rFonts w:ascii="Times New Roman" w:eastAsia="Calibri" w:hAnsi="Times New Roman" w:cs="Times New Roman"/>
          <w:b/>
          <w:sz w:val="24"/>
          <w:szCs w:val="24"/>
        </w:rPr>
      </w:pPr>
      <w:r w:rsidRPr="004356D9">
        <w:rPr>
          <w:rFonts w:ascii="Times New Roman" w:eastAsia="Calibri" w:hAnsi="Times New Roman" w:cs="Times New Roman"/>
          <w:b/>
          <w:sz w:val="24"/>
          <w:szCs w:val="24"/>
        </w:rPr>
        <w:t>Мотиви за включване на „ТЕЦ Марица изток 2“ ЕАД в микса на регулирания пазар.</w:t>
      </w:r>
    </w:p>
    <w:p w14:paraId="0462027C" w14:textId="049651FD" w:rsidR="002216CC" w:rsidRDefault="002216CC" w:rsidP="003D51C0">
      <w:pPr>
        <w:spacing w:after="120" w:line="240" w:lineRule="auto"/>
        <w:jc w:val="both"/>
        <w:rPr>
          <w:rFonts w:ascii="Times New Roman" w:eastAsia="Calibri" w:hAnsi="Times New Roman" w:cs="Times New Roman"/>
          <w:sz w:val="24"/>
          <w:szCs w:val="24"/>
        </w:rPr>
      </w:pPr>
      <w:r w:rsidRPr="002216CC">
        <w:rPr>
          <w:rFonts w:ascii="Times New Roman" w:eastAsia="Calibri" w:hAnsi="Times New Roman" w:cs="Times New Roman"/>
          <w:sz w:val="24"/>
          <w:szCs w:val="24"/>
        </w:rPr>
        <w:t>Политиките на Европейския съюз</w:t>
      </w:r>
      <w:r>
        <w:rPr>
          <w:rFonts w:ascii="Times New Roman" w:eastAsia="Calibri" w:hAnsi="Times New Roman" w:cs="Times New Roman"/>
          <w:sz w:val="24"/>
          <w:szCs w:val="24"/>
        </w:rPr>
        <w:t>,</w:t>
      </w:r>
      <w:r w:rsidRPr="002216CC">
        <w:rPr>
          <w:rFonts w:ascii="Times New Roman" w:eastAsia="Calibri" w:hAnsi="Times New Roman" w:cs="Times New Roman"/>
          <w:sz w:val="24"/>
          <w:szCs w:val="24"/>
        </w:rPr>
        <w:t xml:space="preserve"> във връзка с промените в климата </w:t>
      </w:r>
      <w:r w:rsidR="00F569F7">
        <w:rPr>
          <w:rFonts w:ascii="Times New Roman" w:eastAsia="Calibri" w:hAnsi="Times New Roman" w:cs="Times New Roman"/>
          <w:sz w:val="24"/>
          <w:szCs w:val="24"/>
        </w:rPr>
        <w:t>създават</w:t>
      </w:r>
      <w:r w:rsidR="00F569F7" w:rsidRPr="002216CC">
        <w:rPr>
          <w:rFonts w:ascii="Times New Roman" w:eastAsia="Calibri" w:hAnsi="Times New Roman" w:cs="Times New Roman"/>
          <w:sz w:val="24"/>
          <w:szCs w:val="24"/>
        </w:rPr>
        <w:t xml:space="preserve"> </w:t>
      </w:r>
      <w:r w:rsidRPr="002216CC">
        <w:rPr>
          <w:rFonts w:ascii="Times New Roman" w:eastAsia="Calibri" w:hAnsi="Times New Roman" w:cs="Times New Roman"/>
          <w:sz w:val="24"/>
          <w:szCs w:val="24"/>
        </w:rPr>
        <w:t xml:space="preserve">необходимостта от инвестиране в </w:t>
      </w:r>
      <w:r w:rsidR="00F569F7">
        <w:rPr>
          <w:rFonts w:ascii="Times New Roman" w:eastAsia="Calibri" w:hAnsi="Times New Roman" w:cs="Times New Roman"/>
          <w:sz w:val="24"/>
          <w:szCs w:val="24"/>
        </w:rPr>
        <w:t>нискоемисионни</w:t>
      </w:r>
      <w:r w:rsidR="00F569F7" w:rsidRPr="002216CC">
        <w:rPr>
          <w:rFonts w:ascii="Times New Roman" w:eastAsia="Calibri" w:hAnsi="Times New Roman" w:cs="Times New Roman"/>
          <w:sz w:val="24"/>
          <w:szCs w:val="24"/>
        </w:rPr>
        <w:t xml:space="preserve"> </w:t>
      </w:r>
      <w:r w:rsidRPr="002216CC">
        <w:rPr>
          <w:rFonts w:ascii="Times New Roman" w:eastAsia="Calibri" w:hAnsi="Times New Roman" w:cs="Times New Roman"/>
          <w:sz w:val="24"/>
          <w:szCs w:val="24"/>
        </w:rPr>
        <w:t>източници на енергия</w:t>
      </w:r>
      <w:r w:rsidR="00F569F7">
        <w:rPr>
          <w:rFonts w:ascii="Times New Roman" w:eastAsia="Calibri" w:hAnsi="Times New Roman" w:cs="Times New Roman"/>
          <w:sz w:val="24"/>
          <w:szCs w:val="24"/>
        </w:rPr>
        <w:t xml:space="preserve"> и/или други технологични решения</w:t>
      </w:r>
      <w:r w:rsidRPr="002216CC">
        <w:rPr>
          <w:rFonts w:ascii="Times New Roman" w:eastAsia="Calibri" w:hAnsi="Times New Roman" w:cs="Times New Roman"/>
          <w:sz w:val="24"/>
          <w:szCs w:val="24"/>
        </w:rPr>
        <w:t>.</w:t>
      </w:r>
      <w:r>
        <w:rPr>
          <w:rFonts w:ascii="Times New Roman" w:eastAsia="Calibri" w:hAnsi="Times New Roman" w:cs="Times New Roman"/>
          <w:sz w:val="24"/>
          <w:szCs w:val="24"/>
        </w:rPr>
        <w:t xml:space="preserve"> Същевременно всяка държава членка има ангажимент да гарантира сигурността на енергийните доставки, като използва максимално ефективно наличните енергийни мощности.</w:t>
      </w:r>
    </w:p>
    <w:p w14:paraId="2450350F" w14:textId="3AF9CA6F" w:rsidR="00F23FAA" w:rsidRPr="00F23FAA" w:rsidRDefault="00F23FAA" w:rsidP="003D51C0">
      <w:pPr>
        <w:spacing w:after="120" w:line="240" w:lineRule="auto"/>
        <w:jc w:val="both"/>
        <w:rPr>
          <w:rFonts w:ascii="Times New Roman" w:eastAsia="Calibri" w:hAnsi="Times New Roman" w:cs="Times New Roman"/>
          <w:sz w:val="24"/>
          <w:szCs w:val="24"/>
        </w:rPr>
      </w:pPr>
      <w:r w:rsidRPr="00F23FAA">
        <w:rPr>
          <w:rFonts w:ascii="Times New Roman" w:eastAsia="Calibri" w:hAnsi="Times New Roman" w:cs="Times New Roman"/>
          <w:sz w:val="24"/>
          <w:szCs w:val="24"/>
        </w:rPr>
        <w:t>Очакванията за следващия регулаторен период, по отношение на цените на електрическата енергия на свободния пазар, са свързани с запазване на относително нестабилни ценови нива, спрямо предходната година. Към настоящия момент, страната ни не разполага с алтернативни, заместващи енергийни мощности, които биха могли да гарантират сигурността на доставките на енергийни услуги</w:t>
      </w:r>
      <w:r w:rsidR="00F569F7">
        <w:rPr>
          <w:rFonts w:ascii="Times New Roman" w:eastAsia="Calibri" w:hAnsi="Times New Roman" w:cs="Times New Roman"/>
          <w:sz w:val="24"/>
          <w:szCs w:val="24"/>
        </w:rPr>
        <w:t xml:space="preserve"> в краткосрочен и средносрочен план</w:t>
      </w:r>
      <w:r w:rsidRPr="00F23FAA">
        <w:rPr>
          <w:rFonts w:ascii="Times New Roman" w:eastAsia="Calibri" w:hAnsi="Times New Roman" w:cs="Times New Roman"/>
          <w:sz w:val="24"/>
          <w:szCs w:val="24"/>
        </w:rPr>
        <w:t>. В този смисъл, „ТЕЦ Марица изток 2“ ЕАД може отново да изпълнява роля на гарант за сигурността на енергийните доставки за клиентите</w:t>
      </w:r>
      <w:r w:rsidR="00F569F7">
        <w:rPr>
          <w:rFonts w:ascii="Times New Roman" w:eastAsia="Calibri" w:hAnsi="Times New Roman" w:cs="Times New Roman"/>
          <w:sz w:val="24"/>
          <w:szCs w:val="24"/>
        </w:rPr>
        <w:t xml:space="preserve"> както</w:t>
      </w:r>
      <w:r w:rsidRPr="00F23FAA">
        <w:rPr>
          <w:rFonts w:ascii="Times New Roman" w:eastAsia="Calibri" w:hAnsi="Times New Roman" w:cs="Times New Roman"/>
          <w:sz w:val="24"/>
          <w:szCs w:val="24"/>
        </w:rPr>
        <w:t xml:space="preserve"> на регулирания пазар</w:t>
      </w:r>
      <w:r w:rsidR="00F569F7">
        <w:rPr>
          <w:rFonts w:ascii="Times New Roman" w:eastAsia="Calibri" w:hAnsi="Times New Roman" w:cs="Times New Roman"/>
          <w:sz w:val="24"/>
          <w:szCs w:val="24"/>
        </w:rPr>
        <w:t>, така и на свободния и на балансиращия пазар,</w:t>
      </w:r>
      <w:r w:rsidRPr="00F23FAA">
        <w:rPr>
          <w:rFonts w:ascii="Times New Roman" w:eastAsia="Calibri" w:hAnsi="Times New Roman" w:cs="Times New Roman"/>
          <w:sz w:val="24"/>
          <w:szCs w:val="24"/>
        </w:rPr>
        <w:t xml:space="preserve"> при цена, която отразява пълните разходи за производство на съответните количества, предназначени за „регулирания микс“.</w:t>
      </w:r>
    </w:p>
    <w:p w14:paraId="300D034F" w14:textId="3F05FC87" w:rsidR="00A8412F" w:rsidRPr="002216CC" w:rsidRDefault="002216CC" w:rsidP="004B4750">
      <w:pPr>
        <w:spacing w:after="120" w:line="240" w:lineRule="auto"/>
        <w:jc w:val="both"/>
        <w:rPr>
          <w:rFonts w:ascii="Times New Roman" w:eastAsia="Calibri" w:hAnsi="Times New Roman" w:cs="Times New Roman"/>
          <w:sz w:val="24"/>
          <w:szCs w:val="24"/>
        </w:rPr>
      </w:pPr>
      <w:r w:rsidRPr="002216CC">
        <w:rPr>
          <w:rFonts w:ascii="Times New Roman" w:eastAsia="Calibri" w:hAnsi="Times New Roman" w:cs="Times New Roman"/>
          <w:sz w:val="24"/>
          <w:szCs w:val="24"/>
        </w:rPr>
        <w:t>„ТЕЦ Марица изток 2“ ЕАД е стратегическа електроцентрала, която освен на свободния пазар на електрическа енергия, предоставя електроенергия и на балансиращия пазар с цел гарантиране сигурността на електроенергийната система. Това е възможно чрез предоставяне на допълнителни услуги по осигуряване на част от работещите мощности на централата като разполагаемост за регулиране.</w:t>
      </w:r>
    </w:p>
    <w:p w14:paraId="24E6541B" w14:textId="10B4FD04" w:rsidR="00101885" w:rsidRPr="00101885" w:rsidRDefault="00101885" w:rsidP="004B4750">
      <w:pPr>
        <w:spacing w:after="120" w:line="240" w:lineRule="auto"/>
        <w:jc w:val="both"/>
        <w:rPr>
          <w:rFonts w:ascii="Times New Roman" w:hAnsi="Times New Roman" w:cs="Times New Roman"/>
          <w:sz w:val="24"/>
          <w:szCs w:val="24"/>
        </w:rPr>
      </w:pPr>
      <w:r w:rsidRPr="00101885">
        <w:rPr>
          <w:rFonts w:ascii="Times New Roman" w:eastAsia="Calibri" w:hAnsi="Times New Roman" w:cs="Times New Roman"/>
          <w:b/>
          <w:sz w:val="24"/>
          <w:szCs w:val="24"/>
        </w:rPr>
        <w:t xml:space="preserve">С Решение № 755 на Министерския съвет от 21.09.2004 г. топлоелектрическата централа </w:t>
      </w:r>
      <w:r>
        <w:rPr>
          <w:rFonts w:ascii="Times New Roman" w:eastAsia="Calibri" w:hAnsi="Times New Roman" w:cs="Times New Roman"/>
          <w:b/>
          <w:sz w:val="24"/>
          <w:szCs w:val="24"/>
        </w:rPr>
        <w:t xml:space="preserve">„ТЕЦ Марица изток 2“ЕАД </w:t>
      </w:r>
      <w:r w:rsidRPr="00101885">
        <w:rPr>
          <w:rFonts w:ascii="Times New Roman" w:eastAsia="Calibri" w:hAnsi="Times New Roman" w:cs="Times New Roman"/>
          <w:b/>
          <w:sz w:val="24"/>
          <w:szCs w:val="24"/>
        </w:rPr>
        <w:t>е включена в списъка на стратегическите обекти от национално значение в сектор „Енергетика“, а с Постановление № 181 на Министерския съвет от 20.07.2009 г. е определена като стратегически обект от значение за националната сигурност.</w:t>
      </w:r>
      <w:r w:rsidRPr="00101885">
        <w:rPr>
          <w:rFonts w:ascii="Times New Roman" w:eastAsia="Calibri" w:hAnsi="Times New Roman" w:cs="Times New Roman"/>
          <w:sz w:val="24"/>
          <w:szCs w:val="24"/>
        </w:rPr>
        <w:t xml:space="preserve"> Тя е ключов елемент на електроенергийната </w:t>
      </w:r>
      <w:r w:rsidRPr="00101885">
        <w:rPr>
          <w:rFonts w:ascii="Times New Roman" w:eastAsia="Calibri" w:hAnsi="Times New Roman" w:cs="Times New Roman"/>
          <w:sz w:val="24"/>
          <w:szCs w:val="24"/>
        </w:rPr>
        <w:lastRenderedPageBreak/>
        <w:t xml:space="preserve">система (ЕЕС), като осигурява както основен товар за консумация, така и пълноценно участие в регулирането на честотата на напрежението в системата при най-ниска себестойност между останалите топлоелектроцентрали. </w:t>
      </w:r>
      <w:r w:rsidRPr="00101885">
        <w:rPr>
          <w:rFonts w:ascii="Times New Roman" w:hAnsi="Times New Roman" w:cs="Times New Roman"/>
          <w:sz w:val="24"/>
          <w:szCs w:val="24"/>
        </w:rPr>
        <w:t>Разпалването на котлите в „ТЕЦ Марица изток 2“ ЕАД може да се осъществява както на мазут, така и с нововъведената газоразпалваща инсталация. Това дава възможност едновременно да бъдат разпалени и включени в п</w:t>
      </w:r>
      <w:r>
        <w:rPr>
          <w:rFonts w:ascii="Times New Roman" w:hAnsi="Times New Roman" w:cs="Times New Roman"/>
          <w:sz w:val="24"/>
          <w:szCs w:val="24"/>
        </w:rPr>
        <w:t>аралел с ЕЕС до 4 енергоблока (</w:t>
      </w:r>
      <w:r w:rsidRPr="00101885">
        <w:rPr>
          <w:rFonts w:ascii="Times New Roman" w:hAnsi="Times New Roman" w:cs="Times New Roman"/>
          <w:sz w:val="24"/>
          <w:szCs w:val="24"/>
        </w:rPr>
        <w:t>2 блока на мазут и в същото време пуск на 2 блока на природен газ), т.е. централата може да въведе в работа до 1/2 от инсталираната си мощност в рамките 8-9 часа.</w:t>
      </w:r>
    </w:p>
    <w:p w14:paraId="33355425" w14:textId="0D109879" w:rsidR="00101885" w:rsidRPr="00101885" w:rsidRDefault="00101885" w:rsidP="004B4750">
      <w:pPr>
        <w:spacing w:after="120" w:line="240" w:lineRule="auto"/>
        <w:jc w:val="both"/>
        <w:rPr>
          <w:rFonts w:ascii="Times New Roman" w:eastAsia="Calibri" w:hAnsi="Times New Roman" w:cs="Times New Roman"/>
          <w:sz w:val="24"/>
          <w:szCs w:val="24"/>
        </w:rPr>
      </w:pPr>
      <w:r w:rsidRPr="00101885">
        <w:rPr>
          <w:rFonts w:ascii="Times New Roman" w:eastAsia="Calibri" w:hAnsi="Times New Roman" w:cs="Times New Roman"/>
          <w:b/>
          <w:sz w:val="24"/>
          <w:szCs w:val="24"/>
        </w:rPr>
        <w:t>„ТЕЦ Марица изток 2” ЕАД е единствената централа, която има връзка с трите нива на напрежение на EEC на Република България - 110, 220 и 400 kV, което я прави основен фактор за устойчивата работа на ЕЕС, за ограничаване на разпространението на тежки аварии и подпомагане бързото възстановяване на системата</w:t>
      </w:r>
      <w:r w:rsidRPr="00101885">
        <w:rPr>
          <w:rFonts w:ascii="Times New Roman" w:eastAsia="Calibri" w:hAnsi="Times New Roman" w:cs="Times New Roman"/>
          <w:sz w:val="24"/>
          <w:szCs w:val="24"/>
        </w:rPr>
        <w:t>.</w:t>
      </w:r>
    </w:p>
    <w:p w14:paraId="1FE9DC18" w14:textId="77777777" w:rsidR="00101885" w:rsidRPr="00101885" w:rsidRDefault="00101885">
      <w:pPr>
        <w:spacing w:after="120" w:line="240" w:lineRule="auto"/>
        <w:jc w:val="both"/>
        <w:rPr>
          <w:rFonts w:ascii="Times New Roman" w:eastAsia="Calibri" w:hAnsi="Times New Roman" w:cs="Shruti"/>
          <w:b/>
          <w:sz w:val="24"/>
          <w:szCs w:val="24"/>
          <w:u w:val="single"/>
        </w:rPr>
      </w:pPr>
      <w:r w:rsidRPr="00101885">
        <w:rPr>
          <w:rFonts w:ascii="Times New Roman" w:eastAsia="Calibri" w:hAnsi="Times New Roman" w:cs="Shruti"/>
          <w:b/>
          <w:sz w:val="24"/>
          <w:szCs w:val="24"/>
          <w:u w:val="single"/>
        </w:rPr>
        <w:t xml:space="preserve">Участие на „ТЕЦ Марица изток 2” ЕАД при възстановяване на електроенергийната система по причина настъпване на тежки аварии в системата. </w:t>
      </w:r>
    </w:p>
    <w:p w14:paraId="69AD5796" w14:textId="77777777" w:rsidR="00101885" w:rsidRPr="00101885" w:rsidRDefault="00101885">
      <w:pPr>
        <w:spacing w:after="120" w:line="240" w:lineRule="auto"/>
        <w:jc w:val="both"/>
        <w:rPr>
          <w:rFonts w:ascii="Times New Roman" w:eastAsia="Calibri" w:hAnsi="Times New Roman" w:cs="Shruti"/>
          <w:sz w:val="24"/>
          <w:szCs w:val="24"/>
        </w:rPr>
      </w:pPr>
      <w:r w:rsidRPr="00101885">
        <w:rPr>
          <w:rFonts w:ascii="Times New Roman" w:eastAsia="Calibri" w:hAnsi="Times New Roman" w:cs="Shruti"/>
          <w:sz w:val="24"/>
          <w:szCs w:val="24"/>
        </w:rPr>
        <w:t>При тежки аварии е възможно частично или пълно разпадане на ЕЕС и загуба на собствени нужди на термичните централи.</w:t>
      </w:r>
    </w:p>
    <w:p w14:paraId="3A0611A6" w14:textId="77777777" w:rsidR="00101885" w:rsidRPr="00101885" w:rsidRDefault="00101885">
      <w:pPr>
        <w:tabs>
          <w:tab w:val="left" w:pos="426"/>
        </w:tabs>
        <w:spacing w:after="0" w:line="240" w:lineRule="auto"/>
        <w:jc w:val="both"/>
        <w:rPr>
          <w:rFonts w:ascii="Times New Roman" w:eastAsia="Calibri" w:hAnsi="Times New Roman" w:cs="Shruti"/>
          <w:color w:val="000000"/>
          <w:sz w:val="24"/>
          <w:szCs w:val="24"/>
        </w:rPr>
      </w:pPr>
      <w:r w:rsidRPr="00101885">
        <w:rPr>
          <w:rFonts w:ascii="Times New Roman" w:eastAsia="Calibri" w:hAnsi="Times New Roman" w:cs="Shruti"/>
          <w:color w:val="000000"/>
          <w:sz w:val="24"/>
          <w:szCs w:val="24"/>
        </w:rPr>
        <w:t>Тъй като не могат да бъдат предвидени всички възможни варианти на системни аварии, има разработен план за възстановяване на ЕЕС след тежки аварии, който обхваща началните действия при пълно разпадане на системата, като се преминава през следните етапи:</w:t>
      </w:r>
    </w:p>
    <w:p w14:paraId="15DFE653" w14:textId="77777777" w:rsidR="00101885" w:rsidRPr="00101885" w:rsidRDefault="00101885">
      <w:pPr>
        <w:numPr>
          <w:ilvl w:val="0"/>
          <w:numId w:val="8"/>
        </w:numPr>
        <w:tabs>
          <w:tab w:val="left" w:pos="426"/>
        </w:tabs>
        <w:spacing w:after="0" w:line="240" w:lineRule="auto"/>
        <w:ind w:firstLine="709"/>
        <w:jc w:val="both"/>
        <w:rPr>
          <w:rFonts w:ascii="Times New Roman" w:eastAsia="Calibri" w:hAnsi="Times New Roman" w:cs="Shruti"/>
          <w:color w:val="000000"/>
          <w:sz w:val="24"/>
          <w:szCs w:val="24"/>
        </w:rPr>
      </w:pPr>
      <w:r w:rsidRPr="00101885">
        <w:rPr>
          <w:rFonts w:ascii="Times New Roman" w:eastAsia="Calibri" w:hAnsi="Times New Roman" w:cs="Shruti"/>
          <w:color w:val="000000"/>
          <w:sz w:val="24"/>
          <w:szCs w:val="24"/>
        </w:rPr>
        <w:t>Осигуряване на аварийна помощ от съседни ЕЕС.</w:t>
      </w:r>
    </w:p>
    <w:p w14:paraId="4993A989" w14:textId="77777777" w:rsidR="00101885" w:rsidRPr="00101885" w:rsidRDefault="00101885">
      <w:pPr>
        <w:numPr>
          <w:ilvl w:val="0"/>
          <w:numId w:val="8"/>
        </w:numPr>
        <w:tabs>
          <w:tab w:val="left" w:pos="426"/>
        </w:tabs>
        <w:spacing w:after="0" w:line="240" w:lineRule="auto"/>
        <w:ind w:firstLine="709"/>
        <w:jc w:val="both"/>
        <w:rPr>
          <w:rFonts w:ascii="Times New Roman" w:eastAsia="Calibri" w:hAnsi="Times New Roman" w:cs="Shruti"/>
          <w:color w:val="000000"/>
          <w:sz w:val="24"/>
          <w:szCs w:val="24"/>
        </w:rPr>
      </w:pPr>
      <w:r w:rsidRPr="00101885">
        <w:rPr>
          <w:rFonts w:ascii="Times New Roman" w:eastAsia="Calibri" w:hAnsi="Times New Roman" w:cs="Shruti"/>
          <w:color w:val="000000"/>
          <w:sz w:val="24"/>
          <w:szCs w:val="24"/>
        </w:rPr>
        <w:t>Разширяване на районите около термичните централи, запазили собствените си нужди и отделили се като „острови”.</w:t>
      </w:r>
    </w:p>
    <w:p w14:paraId="40DBCD21" w14:textId="77777777" w:rsidR="00101885" w:rsidRPr="00101885" w:rsidRDefault="00101885">
      <w:pPr>
        <w:numPr>
          <w:ilvl w:val="0"/>
          <w:numId w:val="8"/>
        </w:numPr>
        <w:tabs>
          <w:tab w:val="left" w:pos="426"/>
        </w:tabs>
        <w:spacing w:after="0" w:line="240" w:lineRule="auto"/>
        <w:ind w:firstLine="709"/>
        <w:jc w:val="both"/>
        <w:rPr>
          <w:rFonts w:ascii="Times New Roman" w:eastAsia="Calibri" w:hAnsi="Times New Roman" w:cs="Shruti"/>
          <w:color w:val="000000"/>
          <w:sz w:val="24"/>
          <w:szCs w:val="24"/>
        </w:rPr>
      </w:pPr>
      <w:r w:rsidRPr="00101885">
        <w:rPr>
          <w:rFonts w:ascii="Times New Roman" w:eastAsia="Calibri" w:hAnsi="Times New Roman" w:cs="Shruti"/>
          <w:color w:val="000000"/>
          <w:sz w:val="24"/>
          <w:szCs w:val="24"/>
        </w:rPr>
        <w:t>Пускане на стартови ВЕЦ на коридорите.</w:t>
      </w:r>
    </w:p>
    <w:p w14:paraId="4B593518" w14:textId="77777777" w:rsidR="00101885" w:rsidRPr="00101885" w:rsidRDefault="00101885">
      <w:pPr>
        <w:numPr>
          <w:ilvl w:val="0"/>
          <w:numId w:val="8"/>
        </w:numPr>
        <w:tabs>
          <w:tab w:val="left" w:pos="426"/>
        </w:tabs>
        <w:spacing w:after="0" w:line="240" w:lineRule="auto"/>
        <w:ind w:firstLine="709"/>
        <w:jc w:val="both"/>
        <w:rPr>
          <w:rFonts w:ascii="Times New Roman" w:eastAsia="Calibri" w:hAnsi="Times New Roman" w:cs="Shruti"/>
          <w:color w:val="000000"/>
          <w:sz w:val="24"/>
          <w:szCs w:val="24"/>
        </w:rPr>
      </w:pPr>
      <w:r w:rsidRPr="00101885">
        <w:rPr>
          <w:rFonts w:ascii="Times New Roman" w:eastAsia="Calibri" w:hAnsi="Times New Roman" w:cs="Shruti"/>
          <w:color w:val="000000"/>
          <w:sz w:val="24"/>
          <w:szCs w:val="24"/>
        </w:rPr>
        <w:t>Изграждане на коридори за осигуряване на собствени нужди на възлови термични централи.</w:t>
      </w:r>
    </w:p>
    <w:p w14:paraId="3856A5D9" w14:textId="77777777" w:rsidR="00101885" w:rsidRPr="00101885" w:rsidRDefault="00101885">
      <w:pPr>
        <w:numPr>
          <w:ilvl w:val="0"/>
          <w:numId w:val="8"/>
        </w:numPr>
        <w:tabs>
          <w:tab w:val="left" w:pos="426"/>
        </w:tabs>
        <w:spacing w:after="0" w:line="240" w:lineRule="auto"/>
        <w:ind w:firstLine="709"/>
        <w:jc w:val="both"/>
        <w:rPr>
          <w:rFonts w:ascii="Times New Roman" w:eastAsia="Calibri" w:hAnsi="Times New Roman" w:cs="Shruti"/>
          <w:color w:val="000000"/>
          <w:sz w:val="24"/>
          <w:szCs w:val="24"/>
        </w:rPr>
      </w:pPr>
      <w:r w:rsidRPr="00101885">
        <w:rPr>
          <w:rFonts w:ascii="Times New Roman" w:eastAsia="Calibri" w:hAnsi="Times New Roman" w:cs="Shruti"/>
          <w:color w:val="000000"/>
          <w:sz w:val="24"/>
          <w:szCs w:val="24"/>
        </w:rPr>
        <w:t>Разширяване на коридорите около централите за осигуряване на постепенно натоварване.</w:t>
      </w:r>
    </w:p>
    <w:p w14:paraId="6F253E49" w14:textId="77777777" w:rsidR="00101885" w:rsidRPr="00101885" w:rsidRDefault="00101885">
      <w:pPr>
        <w:numPr>
          <w:ilvl w:val="0"/>
          <w:numId w:val="8"/>
        </w:numPr>
        <w:tabs>
          <w:tab w:val="left" w:pos="426"/>
        </w:tabs>
        <w:spacing w:after="0" w:line="240" w:lineRule="auto"/>
        <w:ind w:firstLine="709"/>
        <w:jc w:val="both"/>
        <w:rPr>
          <w:rFonts w:ascii="Times New Roman" w:eastAsia="Calibri" w:hAnsi="Times New Roman" w:cs="Shruti"/>
          <w:color w:val="000000"/>
          <w:sz w:val="24"/>
          <w:szCs w:val="24"/>
        </w:rPr>
      </w:pPr>
      <w:r w:rsidRPr="00101885">
        <w:rPr>
          <w:rFonts w:ascii="Times New Roman" w:eastAsia="Calibri" w:hAnsi="Times New Roman" w:cs="Shruti"/>
          <w:color w:val="000000"/>
          <w:sz w:val="24"/>
          <w:szCs w:val="24"/>
        </w:rPr>
        <w:t>Свързване на районите и възстановяване на преносната мрежа.</w:t>
      </w:r>
    </w:p>
    <w:p w14:paraId="03762071" w14:textId="77777777" w:rsidR="00101885" w:rsidRPr="00101885" w:rsidRDefault="00101885">
      <w:pPr>
        <w:tabs>
          <w:tab w:val="left" w:pos="426"/>
        </w:tabs>
        <w:spacing w:after="120" w:line="240" w:lineRule="auto"/>
        <w:jc w:val="both"/>
        <w:rPr>
          <w:rFonts w:ascii="Times New Roman" w:eastAsia="Calibri" w:hAnsi="Times New Roman" w:cs="Shruti"/>
          <w:b/>
          <w:sz w:val="24"/>
          <w:szCs w:val="24"/>
          <w:u w:val="single"/>
        </w:rPr>
      </w:pPr>
      <w:r w:rsidRPr="00101885">
        <w:rPr>
          <w:rFonts w:ascii="Times New Roman" w:eastAsia="Calibri" w:hAnsi="Times New Roman" w:cs="Shruti"/>
          <w:b/>
          <w:sz w:val="24"/>
          <w:szCs w:val="24"/>
          <w:u w:val="single"/>
        </w:rPr>
        <w:t>Възстановяването на работата на електроенергийната система, чрез ефективно използване на мощностите на „ТЕЦ Марица изток 2” ЕАД се извършва успешно защото:</w:t>
      </w:r>
    </w:p>
    <w:p w14:paraId="65C73AA9" w14:textId="77777777" w:rsidR="00101885" w:rsidRPr="00101885" w:rsidRDefault="00101885">
      <w:pPr>
        <w:numPr>
          <w:ilvl w:val="0"/>
          <w:numId w:val="9"/>
        </w:numPr>
        <w:tabs>
          <w:tab w:val="left" w:pos="426"/>
          <w:tab w:val="num" w:pos="1065"/>
        </w:tabs>
        <w:spacing w:after="120" w:line="240" w:lineRule="auto"/>
        <w:ind w:firstLine="709"/>
        <w:jc w:val="both"/>
        <w:rPr>
          <w:rFonts w:ascii="Times New Roman" w:eastAsia="Calibri" w:hAnsi="Times New Roman" w:cs="Shruti"/>
          <w:b/>
          <w:i/>
          <w:sz w:val="24"/>
          <w:szCs w:val="24"/>
        </w:rPr>
      </w:pPr>
      <w:r w:rsidRPr="00101885">
        <w:rPr>
          <w:rFonts w:ascii="Times New Roman" w:eastAsia="Calibri" w:hAnsi="Times New Roman" w:cs="Shruti"/>
          <w:b/>
          <w:i/>
          <w:sz w:val="24"/>
          <w:szCs w:val="24"/>
        </w:rPr>
        <w:t>На всички блокове са направени успешни опити за „хвърляне” на товар и запазване на блока да работи за собствени нужди.</w:t>
      </w:r>
    </w:p>
    <w:p w14:paraId="27224B4A" w14:textId="77777777" w:rsidR="00101885" w:rsidRPr="00101885" w:rsidRDefault="00101885">
      <w:pPr>
        <w:numPr>
          <w:ilvl w:val="0"/>
          <w:numId w:val="9"/>
        </w:numPr>
        <w:tabs>
          <w:tab w:val="left" w:pos="426"/>
          <w:tab w:val="num" w:pos="1065"/>
        </w:tabs>
        <w:spacing w:after="120" w:line="240" w:lineRule="auto"/>
        <w:ind w:firstLine="709"/>
        <w:jc w:val="both"/>
        <w:rPr>
          <w:rFonts w:ascii="Times New Roman" w:eastAsia="Calibri" w:hAnsi="Times New Roman" w:cs="Shruti"/>
          <w:sz w:val="24"/>
          <w:szCs w:val="24"/>
        </w:rPr>
      </w:pPr>
      <w:r w:rsidRPr="00101885">
        <w:rPr>
          <w:rFonts w:ascii="Times New Roman" w:eastAsia="Calibri" w:hAnsi="Times New Roman" w:cs="Shruti"/>
          <w:sz w:val="24"/>
          <w:szCs w:val="24"/>
        </w:rPr>
        <w:t>В реални условия, дори всички работещи блокове да не успеят да останат да работят за собствени нужди, поради гъвкавостта на схемата за собствени нужди на централата с определени превключвания може да се осигури достатъчно товар на останалите в работа блокове или блок, така че да работи стабилно до изграждане на коридор и синхронизиране с коридора.</w:t>
      </w:r>
    </w:p>
    <w:p w14:paraId="69AF21A2" w14:textId="77777777" w:rsidR="00101885" w:rsidRPr="00101885" w:rsidRDefault="00101885">
      <w:pPr>
        <w:numPr>
          <w:ilvl w:val="0"/>
          <w:numId w:val="9"/>
        </w:numPr>
        <w:tabs>
          <w:tab w:val="left" w:pos="426"/>
          <w:tab w:val="left" w:pos="709"/>
          <w:tab w:val="num" w:pos="1065"/>
        </w:tabs>
        <w:spacing w:after="120" w:line="240" w:lineRule="auto"/>
        <w:ind w:firstLine="709"/>
        <w:jc w:val="both"/>
        <w:rPr>
          <w:rFonts w:ascii="Times New Roman" w:eastAsia="Calibri" w:hAnsi="Times New Roman" w:cs="Shruti"/>
          <w:sz w:val="24"/>
          <w:szCs w:val="24"/>
        </w:rPr>
      </w:pPr>
      <w:r w:rsidRPr="00101885">
        <w:rPr>
          <w:rFonts w:ascii="Times New Roman" w:eastAsia="Calibri" w:hAnsi="Times New Roman" w:cs="Shruti"/>
          <w:b/>
          <w:i/>
          <w:sz w:val="24"/>
          <w:szCs w:val="24"/>
        </w:rPr>
        <w:t>При пълна загуба на собствени нужди, в списъка с възловите термични централи, на които трябва да бъде осигурено напрежение от коридор, „ТЕЦ Марица изток 2” ЕАД е на първо място. Предвидени са три варианта за изграждане на коридор, в зависимост от това възможна ли е помощ от съседни ЕЕС, текущото състояние на мрежата, водните централи и котите на язовирите.</w:t>
      </w:r>
      <w:r w:rsidRPr="00101885">
        <w:rPr>
          <w:rFonts w:ascii="Times New Roman" w:eastAsia="Calibri" w:hAnsi="Times New Roman" w:cs="Shruti"/>
          <w:sz w:val="24"/>
          <w:szCs w:val="24"/>
        </w:rPr>
        <w:t xml:space="preserve"> </w:t>
      </w:r>
    </w:p>
    <w:p w14:paraId="7EAA3630" w14:textId="77777777" w:rsidR="00101885" w:rsidRPr="00101885" w:rsidRDefault="00101885">
      <w:pPr>
        <w:spacing w:after="120" w:line="240" w:lineRule="auto"/>
        <w:ind w:firstLine="709"/>
        <w:rPr>
          <w:rFonts w:ascii="Times New Roman" w:eastAsia="Calibri" w:hAnsi="Times New Roman" w:cs="Shruti"/>
          <w:b/>
          <w:sz w:val="24"/>
          <w:szCs w:val="24"/>
          <w:u w:val="single"/>
        </w:rPr>
      </w:pPr>
      <w:r w:rsidRPr="00101885">
        <w:rPr>
          <w:rFonts w:ascii="Times New Roman" w:eastAsia="Calibri" w:hAnsi="Times New Roman" w:cs="Shruti"/>
          <w:b/>
          <w:sz w:val="24"/>
          <w:szCs w:val="24"/>
          <w:u w:val="single"/>
        </w:rPr>
        <w:lastRenderedPageBreak/>
        <w:t>Коридорите са следните:</w:t>
      </w:r>
    </w:p>
    <w:p w14:paraId="62EDD6AE" w14:textId="77777777" w:rsidR="00101885" w:rsidRPr="00101885" w:rsidRDefault="00101885">
      <w:pPr>
        <w:spacing w:after="120" w:line="240" w:lineRule="auto"/>
        <w:ind w:firstLine="709"/>
        <w:rPr>
          <w:rFonts w:ascii="Times New Roman" w:eastAsia="Calibri" w:hAnsi="Times New Roman" w:cs="Shruti"/>
          <w:sz w:val="24"/>
          <w:szCs w:val="24"/>
        </w:rPr>
      </w:pPr>
      <w:r w:rsidRPr="00101885">
        <w:rPr>
          <w:rFonts w:ascii="Times New Roman" w:eastAsia="Calibri" w:hAnsi="Times New Roman" w:cs="Shruti"/>
          <w:sz w:val="24"/>
          <w:szCs w:val="24"/>
        </w:rPr>
        <w:t>Коридор 1: От ВЕЦ „Студен кладенец”</w:t>
      </w:r>
    </w:p>
    <w:p w14:paraId="5951CC2B" w14:textId="77777777" w:rsidR="00101885" w:rsidRPr="00101885" w:rsidRDefault="00101885">
      <w:pPr>
        <w:spacing w:after="120" w:line="240" w:lineRule="auto"/>
        <w:ind w:firstLine="709"/>
        <w:rPr>
          <w:rFonts w:ascii="Times New Roman" w:eastAsia="Calibri" w:hAnsi="Times New Roman" w:cs="Shruti"/>
          <w:sz w:val="24"/>
          <w:szCs w:val="24"/>
        </w:rPr>
      </w:pPr>
      <w:r w:rsidRPr="00101885">
        <w:rPr>
          <w:rFonts w:ascii="Times New Roman" w:eastAsia="Calibri" w:hAnsi="Times New Roman" w:cs="Shruti"/>
          <w:sz w:val="24"/>
          <w:szCs w:val="24"/>
        </w:rPr>
        <w:t>Коридор 2: От ВЕЦ „Пещера” (ПАВЕЦ „Орфей”)</w:t>
      </w:r>
    </w:p>
    <w:p w14:paraId="32126A3C" w14:textId="77777777" w:rsidR="00101885" w:rsidRPr="00101885" w:rsidRDefault="00101885">
      <w:pPr>
        <w:spacing w:after="120" w:line="240" w:lineRule="auto"/>
        <w:ind w:firstLine="709"/>
        <w:rPr>
          <w:rFonts w:ascii="Times New Roman" w:eastAsia="Calibri" w:hAnsi="Times New Roman" w:cs="Shruti"/>
          <w:sz w:val="24"/>
          <w:szCs w:val="24"/>
        </w:rPr>
      </w:pPr>
      <w:r w:rsidRPr="00101885">
        <w:rPr>
          <w:rFonts w:ascii="Times New Roman" w:eastAsia="Calibri" w:hAnsi="Times New Roman" w:cs="Shruti"/>
          <w:sz w:val="24"/>
          <w:szCs w:val="24"/>
        </w:rPr>
        <w:t>Коридор 3: От Подстанция „Добруджа”</w:t>
      </w:r>
    </w:p>
    <w:p w14:paraId="078246C2" w14:textId="77777777" w:rsidR="00101885" w:rsidRPr="00101885" w:rsidRDefault="00101885">
      <w:pPr>
        <w:spacing w:after="120" w:line="240" w:lineRule="auto"/>
        <w:jc w:val="both"/>
        <w:rPr>
          <w:rFonts w:ascii="Times New Roman" w:eastAsia="Calibri" w:hAnsi="Times New Roman" w:cs="Shruti"/>
          <w:sz w:val="24"/>
          <w:szCs w:val="24"/>
        </w:rPr>
      </w:pPr>
      <w:r w:rsidRPr="00101885">
        <w:rPr>
          <w:rFonts w:ascii="Times New Roman" w:eastAsia="Calibri" w:hAnsi="Times New Roman" w:cs="Shruti"/>
          <w:sz w:val="24"/>
          <w:szCs w:val="24"/>
        </w:rPr>
        <w:tab/>
        <w:t xml:space="preserve">При коридор 1 и 2 „ТЕЦ Марица изток 2” ЕАД чака напрежение по изводи „Сила” или „Светлина”, а </w:t>
      </w:r>
      <w:r w:rsidRPr="00101885">
        <w:rPr>
          <w:rFonts w:ascii="Times New Roman" w:eastAsia="Calibri" w:hAnsi="Times New Roman" w:cs="Shruti"/>
          <w:sz w:val="24"/>
          <w:szCs w:val="24"/>
          <w:lang w:val="ru-RU"/>
        </w:rPr>
        <w:t xml:space="preserve">за </w:t>
      </w:r>
      <w:r w:rsidRPr="00101885">
        <w:rPr>
          <w:rFonts w:ascii="Times New Roman" w:eastAsia="Calibri" w:hAnsi="Times New Roman" w:cs="Shruti"/>
          <w:sz w:val="24"/>
          <w:szCs w:val="24"/>
        </w:rPr>
        <w:t>разширяване на коридора подава напрежение на подстанция „Добруджа” по извод „Камчия”.</w:t>
      </w:r>
    </w:p>
    <w:p w14:paraId="2BE1347A" w14:textId="77777777" w:rsidR="00101885" w:rsidRPr="00101885" w:rsidRDefault="00101885">
      <w:pPr>
        <w:spacing w:after="120" w:line="240" w:lineRule="auto"/>
        <w:jc w:val="both"/>
        <w:rPr>
          <w:rFonts w:ascii="Times New Roman" w:eastAsia="Calibri" w:hAnsi="Times New Roman" w:cs="Shruti"/>
          <w:sz w:val="24"/>
          <w:szCs w:val="24"/>
        </w:rPr>
      </w:pPr>
      <w:r w:rsidRPr="00101885">
        <w:rPr>
          <w:rFonts w:ascii="Times New Roman" w:eastAsia="Calibri" w:hAnsi="Times New Roman" w:cs="Shruti"/>
          <w:sz w:val="24"/>
          <w:szCs w:val="24"/>
        </w:rPr>
        <w:t>При коридор 3 „ТЕЦ Марица изток 2” ЕАД чака напрежение по извод „Камчия” от подстанция „Добруджа” и за разширяване на коридора подава напрежение за ТЕЦ „Контур Глобал” по извод „Овчарица”.</w:t>
      </w:r>
    </w:p>
    <w:p w14:paraId="79A70867" w14:textId="77777777" w:rsidR="00101885" w:rsidRPr="00101885" w:rsidRDefault="00101885">
      <w:pPr>
        <w:spacing w:after="120" w:line="240" w:lineRule="auto"/>
        <w:jc w:val="both"/>
        <w:rPr>
          <w:rFonts w:ascii="Times New Roman" w:eastAsia="Calibri" w:hAnsi="Times New Roman" w:cs="Shruti"/>
          <w:sz w:val="24"/>
          <w:szCs w:val="24"/>
        </w:rPr>
      </w:pPr>
      <w:r w:rsidRPr="00101885">
        <w:rPr>
          <w:rFonts w:ascii="Times New Roman" w:eastAsia="Calibri" w:hAnsi="Times New Roman" w:cs="Shruti"/>
          <w:sz w:val="24"/>
          <w:szCs w:val="24"/>
        </w:rPr>
        <w:t>При възстановяване на ЕЕС „ТЕЦ Марица изток 2” ЕАД подава напрежение на подстанция „Добруджа” по извод „Камчия” и подава напрежение за ТЕЦ „Контур Глобал” по извод „Овчарица”.  След което следва Свързване на районите и възстановяване на преносната мрежа.</w:t>
      </w:r>
    </w:p>
    <w:p w14:paraId="2B9932B5" w14:textId="77777777" w:rsidR="00F569F7" w:rsidRDefault="00101885">
      <w:pPr>
        <w:autoSpaceDE w:val="0"/>
        <w:autoSpaceDN w:val="0"/>
        <w:adjustRightInd w:val="0"/>
        <w:spacing w:after="120" w:line="240" w:lineRule="auto"/>
        <w:jc w:val="both"/>
        <w:rPr>
          <w:rFonts w:ascii="Times New Roman" w:eastAsia="Times New Roman" w:hAnsi="Times New Roman" w:cs="Times New Roman"/>
          <w:sz w:val="24"/>
          <w:szCs w:val="24"/>
          <w:lang w:eastAsia="bg-BG"/>
        </w:rPr>
      </w:pPr>
      <w:r w:rsidRPr="00101885">
        <w:rPr>
          <w:rFonts w:ascii="Times New Roman" w:eastAsia="Times New Roman" w:hAnsi="Times New Roman" w:cs="Times New Roman"/>
          <w:sz w:val="24"/>
          <w:szCs w:val="24"/>
          <w:lang w:eastAsia="bg-BG"/>
        </w:rPr>
        <w:t xml:space="preserve">Предвид изложеното по-горе, отново бихме искали да обърнем внимание, че когато говорим за енергийна сигурност и гарантиране на снабдяването с електрическа енергия, не можем да се позоваваме единствено на статистически данни за възникнали тежки аварии и предприети действия за тяхното отстраняване, съгласно текстовете предвидени в Правилата за управление на електроенергийната система (ПУЕЕС). Грижата за енергийната сигурност, като стратегическа инфраструктура е непрекъснат процес и оценката за нейния успех е наличието на непрекъснати енергийни доставки за всички потребители на територията на Р България. </w:t>
      </w:r>
    </w:p>
    <w:p w14:paraId="09B79C91" w14:textId="6771BD84" w:rsidR="00F569F7" w:rsidRDefault="00F569F7">
      <w:pPr>
        <w:autoSpaceDE w:val="0"/>
        <w:autoSpaceDN w:val="0"/>
        <w:adjustRightInd w:val="0"/>
        <w:spacing w:after="12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При извършени от ЕСО ЕАД </w:t>
      </w:r>
      <w:r w:rsidRPr="00F569F7">
        <w:rPr>
          <w:rFonts w:ascii="Times New Roman" w:eastAsia="Times New Roman" w:hAnsi="Times New Roman" w:cs="Times New Roman"/>
          <w:sz w:val="24"/>
          <w:szCs w:val="24"/>
          <w:lang w:eastAsia="bg-BG"/>
        </w:rPr>
        <w:t xml:space="preserve">пазарното моделиране на мощностите и електроенергийния баланс на страната, </w:t>
      </w:r>
      <w:r>
        <w:rPr>
          <w:rFonts w:ascii="Times New Roman" w:eastAsia="Times New Roman" w:hAnsi="Times New Roman" w:cs="Times New Roman"/>
          <w:sz w:val="24"/>
          <w:szCs w:val="24"/>
          <w:lang w:eastAsia="bg-BG"/>
        </w:rPr>
        <w:t xml:space="preserve">е видно, че </w:t>
      </w:r>
      <w:r w:rsidRPr="00F569F7">
        <w:rPr>
          <w:rFonts w:ascii="Times New Roman" w:eastAsia="Times New Roman" w:hAnsi="Times New Roman" w:cs="Times New Roman"/>
          <w:sz w:val="24"/>
          <w:szCs w:val="24"/>
          <w:lang w:eastAsia="bg-BG"/>
        </w:rPr>
        <w:t>към настоящия момент въглищните централи изпитват изключителен пазарен натиск най-вече поради големите разходи за въглеродни емисии, които заплащат при производството си. От друга страна, отпадането от пазара на мощностите на ТЕЦ поради икономически причини допълнително ще усложни управлението на баланса между производство и потребление в страната на фона на увеличаващия се дял на електроенергията, произвеждана от ВЕИ. Увеличеното производство от ВЕИ оказва негативно въздействие върху сигурността и надеждността на електроенергийната система (ЕЕС) при положение, че не е осигурено наличието на достатъчно количество балансиращи мощности.</w:t>
      </w:r>
    </w:p>
    <w:p w14:paraId="1180695E" w14:textId="28B0003B" w:rsidR="00F569F7" w:rsidRDefault="00F569F7">
      <w:pPr>
        <w:autoSpaceDE w:val="0"/>
        <w:autoSpaceDN w:val="0"/>
        <w:adjustRightInd w:val="0"/>
        <w:spacing w:after="120" w:line="240" w:lineRule="auto"/>
        <w:jc w:val="both"/>
        <w:rPr>
          <w:rFonts w:ascii="Times New Roman" w:eastAsia="Times New Roman" w:hAnsi="Times New Roman" w:cs="Times New Roman"/>
          <w:sz w:val="24"/>
          <w:szCs w:val="24"/>
          <w:lang w:eastAsia="bg-BG"/>
        </w:rPr>
      </w:pPr>
      <w:r w:rsidRPr="00F569F7">
        <w:rPr>
          <w:rFonts w:ascii="Times New Roman" w:eastAsia="Times New Roman" w:hAnsi="Times New Roman" w:cs="Times New Roman"/>
          <w:sz w:val="24"/>
          <w:szCs w:val="24"/>
          <w:lang w:eastAsia="bg-BG"/>
        </w:rPr>
        <w:t xml:space="preserve">При анализ на заложените прогнозни зимни товари се наблюдава необходимост от внос на електроенергия за обезпечаване на потреблението в страната, тъй като ще е налице недостиг </w:t>
      </w:r>
      <w:r>
        <w:rPr>
          <w:rFonts w:ascii="Times New Roman" w:eastAsia="Times New Roman" w:hAnsi="Times New Roman" w:cs="Times New Roman"/>
          <w:sz w:val="24"/>
          <w:szCs w:val="24"/>
          <w:lang w:eastAsia="bg-BG"/>
        </w:rPr>
        <w:t>при</w:t>
      </w:r>
      <w:r w:rsidRPr="00F569F7">
        <w:rPr>
          <w:rFonts w:ascii="Times New Roman" w:eastAsia="Times New Roman" w:hAnsi="Times New Roman" w:cs="Times New Roman"/>
          <w:sz w:val="24"/>
          <w:szCs w:val="24"/>
          <w:lang w:eastAsia="bg-BG"/>
        </w:rPr>
        <w:t xml:space="preserve"> извеждането от експлоатация на въглищни мощности. От друга страна, цената, на която би могла да бъде закупена електрическа енергия чрез внос в зимния период, се влияе от множество външни фактори и това би поставило снабдяването с електроенергия под риск, а българския потребител - в неравностойно положение на пазара.</w:t>
      </w:r>
      <w:r>
        <w:rPr>
          <w:rFonts w:ascii="Times New Roman" w:eastAsia="Times New Roman" w:hAnsi="Times New Roman" w:cs="Times New Roman"/>
          <w:sz w:val="24"/>
          <w:szCs w:val="24"/>
          <w:lang w:eastAsia="bg-BG"/>
        </w:rPr>
        <w:t xml:space="preserve"> </w:t>
      </w:r>
      <w:r w:rsidRPr="00F569F7">
        <w:rPr>
          <w:rFonts w:ascii="Times New Roman" w:eastAsia="Times New Roman" w:hAnsi="Times New Roman" w:cs="Times New Roman"/>
          <w:sz w:val="24"/>
          <w:szCs w:val="24"/>
          <w:lang w:eastAsia="bg-BG"/>
        </w:rPr>
        <w:t xml:space="preserve">Най-вероятният сценарий при недостиг в зимния сезон е такъв недостиг да има и в съседните на България страни и/или цената на енергията да е значително по-висока от прогнозираната. Същото е обусловено от широкото навлизане на ВЕИ с оглед изпълнението на европейските изисквания за декарбонизация от всички страни членки на ЕС. Недостигът и прогнозите за потребление на електроенергия в зимните месеци </w:t>
      </w:r>
      <w:r w:rsidRPr="00F569F7">
        <w:rPr>
          <w:rFonts w:ascii="Times New Roman" w:eastAsia="Times New Roman" w:hAnsi="Times New Roman" w:cs="Times New Roman"/>
          <w:sz w:val="24"/>
          <w:szCs w:val="24"/>
          <w:lang w:eastAsia="bg-BG"/>
        </w:rPr>
        <w:lastRenderedPageBreak/>
        <w:t>може да се окажат подценени предвид предвижданата масова електрификация на транспорта и отоплението.</w:t>
      </w:r>
    </w:p>
    <w:p w14:paraId="03059AF3" w14:textId="23083795" w:rsidR="00F569F7" w:rsidRDefault="00F569F7">
      <w:pPr>
        <w:autoSpaceDE w:val="0"/>
        <w:autoSpaceDN w:val="0"/>
        <w:adjustRightInd w:val="0"/>
        <w:spacing w:after="12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П</w:t>
      </w:r>
      <w:r w:rsidRPr="00F569F7">
        <w:rPr>
          <w:rFonts w:ascii="Times New Roman" w:eastAsia="Times New Roman" w:hAnsi="Times New Roman" w:cs="Times New Roman"/>
          <w:sz w:val="24"/>
          <w:szCs w:val="24"/>
          <w:lang w:eastAsia="bg-BG"/>
        </w:rPr>
        <w:t>ри моделите на летните товари се наблюдава дисбаланс от излишък, породен от производството от ФЕЦ, който се предвижда да бъде за износ, но не е гарантирано, че в тези периоди, няма да е налице излишък и в съседните ЕЕС, който може да бъде дори в по-големи количества, вследствие на което няма да има възможност за реализация чрез износ на излишъка в ЕЕС на България. Това от своя страна би довело до недобре балансирана система в страната, което при наличието на междусистемна свързаност със съседните ни държави поставя в риск стабилността на съществуващите системни обединения и може да доведе до налагане на финансови санкции за предизвикалите небаланса</w:t>
      </w:r>
    </w:p>
    <w:p w14:paraId="085C27D5" w14:textId="7DDF6D90" w:rsidR="00F569F7" w:rsidRDefault="00730C57">
      <w:pPr>
        <w:autoSpaceDE w:val="0"/>
        <w:autoSpaceDN w:val="0"/>
        <w:adjustRightInd w:val="0"/>
        <w:spacing w:after="12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За минимизиране на р</w:t>
      </w:r>
      <w:r w:rsidR="003E5069" w:rsidRPr="003E5069">
        <w:rPr>
          <w:rFonts w:ascii="Times New Roman" w:eastAsia="Times New Roman" w:hAnsi="Times New Roman" w:cs="Times New Roman"/>
          <w:sz w:val="24"/>
          <w:szCs w:val="24"/>
          <w:lang w:eastAsia="bg-BG"/>
        </w:rPr>
        <w:t>еална</w:t>
      </w:r>
      <w:r w:rsidR="003E5069">
        <w:rPr>
          <w:rFonts w:ascii="Times New Roman" w:eastAsia="Times New Roman" w:hAnsi="Times New Roman" w:cs="Times New Roman"/>
          <w:sz w:val="24"/>
          <w:szCs w:val="24"/>
          <w:lang w:eastAsia="bg-BG"/>
        </w:rPr>
        <w:t>та</w:t>
      </w:r>
      <w:r w:rsidR="003E5069" w:rsidRPr="003E5069">
        <w:rPr>
          <w:rFonts w:ascii="Times New Roman" w:eastAsia="Times New Roman" w:hAnsi="Times New Roman" w:cs="Times New Roman"/>
          <w:sz w:val="24"/>
          <w:szCs w:val="24"/>
          <w:lang w:eastAsia="bg-BG"/>
        </w:rPr>
        <w:t xml:space="preserve"> опасност от дисбаланси в ЕЕС би следвало да се залага приоритетно на конвенционални източници за предоставяне на необходимите на системата балансиращи услуги до доказване надеждността на алтернативните технологии, които да бъдат използвани за в</w:t>
      </w:r>
      <w:r>
        <w:rPr>
          <w:rFonts w:ascii="Times New Roman" w:eastAsia="Times New Roman" w:hAnsi="Times New Roman" w:cs="Times New Roman"/>
          <w:sz w:val="24"/>
          <w:szCs w:val="24"/>
          <w:lang w:eastAsia="bg-BG"/>
        </w:rPr>
        <w:t xml:space="preserve"> </w:t>
      </w:r>
      <w:r w:rsidR="003E5069" w:rsidRPr="003E5069">
        <w:rPr>
          <w:rFonts w:ascii="Times New Roman" w:eastAsia="Times New Roman" w:hAnsi="Times New Roman" w:cs="Times New Roman"/>
          <w:sz w:val="24"/>
          <w:szCs w:val="24"/>
          <w:lang w:eastAsia="bg-BG"/>
        </w:rPr>
        <w:t>бъдеще за предоставяне на допълнителни услуги и за  гарантиране сигурността на ЕЕС.</w:t>
      </w:r>
      <w:r>
        <w:rPr>
          <w:rFonts w:ascii="Times New Roman" w:eastAsia="Times New Roman" w:hAnsi="Times New Roman" w:cs="Times New Roman"/>
          <w:sz w:val="24"/>
          <w:szCs w:val="24"/>
          <w:lang w:eastAsia="bg-BG"/>
        </w:rPr>
        <w:t xml:space="preserve"> </w:t>
      </w:r>
      <w:r w:rsidR="003E5069" w:rsidRPr="003E5069">
        <w:rPr>
          <w:rFonts w:ascii="Times New Roman" w:eastAsia="Times New Roman" w:hAnsi="Times New Roman" w:cs="Times New Roman"/>
          <w:sz w:val="24"/>
          <w:szCs w:val="24"/>
          <w:lang w:eastAsia="bg-BG"/>
        </w:rPr>
        <w:t>За разрешаване на установените проблеми с баланса между производство и потребление, породени от включването на значителни по количество мощности от ФЕЦ и ВяЕЦ, е необходимо да се предприемат законодателни изменения за гарантиране на устойчивостта на системата чрез осигуряване на работата на определен минимален брой синхронни турбогенератори.</w:t>
      </w:r>
      <w:r>
        <w:rPr>
          <w:rFonts w:ascii="Times New Roman" w:eastAsia="Times New Roman" w:hAnsi="Times New Roman" w:cs="Times New Roman"/>
          <w:sz w:val="24"/>
          <w:szCs w:val="24"/>
          <w:lang w:eastAsia="bg-BG"/>
        </w:rPr>
        <w:t xml:space="preserve"> </w:t>
      </w:r>
    </w:p>
    <w:p w14:paraId="2EBF435A" w14:textId="77777777" w:rsidR="00730C57" w:rsidRPr="00730C57" w:rsidRDefault="00730C57">
      <w:pPr>
        <w:autoSpaceDE w:val="0"/>
        <w:autoSpaceDN w:val="0"/>
        <w:adjustRightInd w:val="0"/>
        <w:spacing w:after="120" w:line="240" w:lineRule="auto"/>
        <w:jc w:val="both"/>
        <w:rPr>
          <w:rFonts w:ascii="Times New Roman" w:eastAsia="Times New Roman" w:hAnsi="Times New Roman" w:cs="Times New Roman"/>
          <w:sz w:val="24"/>
          <w:szCs w:val="24"/>
          <w:lang w:eastAsia="bg-BG"/>
        </w:rPr>
      </w:pPr>
      <w:r w:rsidRPr="00730C57">
        <w:rPr>
          <w:rFonts w:ascii="Times New Roman" w:eastAsia="Times New Roman" w:hAnsi="Times New Roman" w:cs="Times New Roman"/>
          <w:sz w:val="24"/>
          <w:szCs w:val="24"/>
          <w:lang w:eastAsia="bg-BG"/>
        </w:rPr>
        <w:t xml:space="preserve">Освен регулирането на товара и баланса между производство и потребление, енергийната система следва да разполага с достатъчно количество въртящи мощности, които да осигуряват качеството на енергията (напрежение, честота и др.). </w:t>
      </w:r>
    </w:p>
    <w:p w14:paraId="47F2B146" w14:textId="1C35ACA8" w:rsidR="004B4750" w:rsidRPr="0097323C" w:rsidRDefault="00730C57" w:rsidP="004B4750">
      <w:pPr>
        <w:tabs>
          <w:tab w:val="left" w:pos="0"/>
        </w:tabs>
        <w:spacing w:after="0" w:line="240" w:lineRule="auto"/>
        <w:ind w:firstLine="709"/>
        <w:jc w:val="both"/>
        <w:rPr>
          <w:rFonts w:ascii="Times New Roman" w:hAnsi="Times New Roman" w:cs="Times New Roman"/>
          <w:sz w:val="24"/>
          <w:szCs w:val="24"/>
        </w:rPr>
      </w:pPr>
      <w:r w:rsidRPr="00730C57">
        <w:rPr>
          <w:rFonts w:ascii="Times New Roman" w:eastAsia="Times New Roman" w:hAnsi="Times New Roman" w:cs="Times New Roman"/>
          <w:sz w:val="24"/>
          <w:szCs w:val="24"/>
          <w:lang w:eastAsia="bg-BG"/>
        </w:rPr>
        <w:t>Гарантирането на статична и динамична устойчивост на ЕЕС по същността си представлява услуга, която към момента се счита осигурена по подразбиране чрез наличието на работещи въртящи мощности (турбогенератори) в системата. Основните въртящи мощности, които осигуряват тези характеристики на системата са тези от ТЕЦ и АЕЦ. Както е посочено в Плана, блоковете на АЕЦ „Козлодуй“ произвеждат ниска по себестойност енергия, но не предоставят вторично регулиране поради технически съображения, което създава определени трудности при покриване на баланса в ЕЕС в периодите на минимално натоварване и при наличие на принудено производство от ВЕЦ И ВЕИ. Термичните централи, предоставящи допълнителни услуги в денонощен разрез, гарантират устойчивостта на ЕЕС и сигурността на доставките, като са определящ фактор за надеждността на всяка ЕЕС и за жизнеността на всеки енергиен пазар.</w:t>
      </w:r>
      <w:r w:rsidR="004B4750">
        <w:rPr>
          <w:rFonts w:ascii="Times New Roman" w:eastAsia="Times New Roman" w:hAnsi="Times New Roman" w:cs="Times New Roman"/>
          <w:sz w:val="24"/>
          <w:szCs w:val="24"/>
          <w:lang w:eastAsia="bg-BG"/>
        </w:rPr>
        <w:t xml:space="preserve"> Същото много отчетливо се наблюдаваше в периода месец ноември 2024 г. – месец февруари 2025 г. </w:t>
      </w:r>
      <w:r w:rsidR="004B4750" w:rsidRPr="0097323C">
        <w:rPr>
          <w:rFonts w:ascii="Times New Roman" w:hAnsi="Times New Roman" w:cs="Times New Roman"/>
          <w:sz w:val="24"/>
          <w:szCs w:val="24"/>
        </w:rPr>
        <w:t>От средата на месец ноември 2024 г. започна да се наблюдава тенденция на увеличение на борсовите цени на електрическата енергия, обосновано основно от увеличената консумация в съчетание с намаляване на производството от ВЕИ източници. Увеличение беше отчетено и при заявките на НЕК ЕАД в качеството му на Обществен доставчик за нуждите на регулирания пазар.</w:t>
      </w:r>
      <w:r w:rsidR="004B4750">
        <w:rPr>
          <w:rFonts w:ascii="Times New Roman" w:hAnsi="Times New Roman" w:cs="Times New Roman"/>
          <w:sz w:val="24"/>
          <w:szCs w:val="24"/>
        </w:rPr>
        <w:t xml:space="preserve"> </w:t>
      </w:r>
      <w:r w:rsidR="004B4750" w:rsidRPr="0097323C">
        <w:rPr>
          <w:rFonts w:ascii="Times New Roman" w:hAnsi="Times New Roman" w:cs="Times New Roman"/>
          <w:sz w:val="24"/>
          <w:szCs w:val="24"/>
        </w:rPr>
        <w:t>Повишението на цените на ел. енергията на свободния пазар позволи на централата да участва активно ва всички сегменти на БНЕБ ЕАД.</w:t>
      </w:r>
      <w:r w:rsidR="004B4750">
        <w:rPr>
          <w:rFonts w:ascii="Times New Roman" w:hAnsi="Times New Roman" w:cs="Times New Roman"/>
          <w:sz w:val="24"/>
          <w:szCs w:val="24"/>
        </w:rPr>
        <w:t xml:space="preserve"> </w:t>
      </w:r>
      <w:r w:rsidR="004B4750" w:rsidRPr="0097323C">
        <w:rPr>
          <w:rFonts w:ascii="Times New Roman" w:hAnsi="Times New Roman" w:cs="Times New Roman"/>
          <w:sz w:val="24"/>
          <w:szCs w:val="24"/>
        </w:rPr>
        <w:t>Включването на допълнителни мощности за регулирания и свободния пазар предоставя възможност на ЕСО ЕАД да използва по-голям гъвкав диапазон за регулиране на системата.</w:t>
      </w:r>
    </w:p>
    <w:p w14:paraId="7A87AD75" w14:textId="63612AED" w:rsidR="00730C57" w:rsidRPr="00730C57" w:rsidRDefault="00730C57" w:rsidP="004B4750">
      <w:pPr>
        <w:autoSpaceDE w:val="0"/>
        <w:autoSpaceDN w:val="0"/>
        <w:adjustRightInd w:val="0"/>
        <w:spacing w:after="120" w:line="240" w:lineRule="auto"/>
        <w:jc w:val="both"/>
        <w:rPr>
          <w:rFonts w:ascii="Times New Roman" w:eastAsia="Times New Roman" w:hAnsi="Times New Roman" w:cs="Times New Roman"/>
          <w:sz w:val="24"/>
          <w:szCs w:val="24"/>
          <w:lang w:eastAsia="bg-BG"/>
        </w:rPr>
      </w:pPr>
    </w:p>
    <w:p w14:paraId="7F7B3B00" w14:textId="1A9DF79C" w:rsidR="00730C57" w:rsidRDefault="00730C57" w:rsidP="003D51C0">
      <w:pPr>
        <w:autoSpaceDE w:val="0"/>
        <w:autoSpaceDN w:val="0"/>
        <w:adjustRightInd w:val="0"/>
        <w:spacing w:after="120" w:line="240" w:lineRule="auto"/>
        <w:jc w:val="both"/>
        <w:rPr>
          <w:rFonts w:ascii="Times New Roman" w:eastAsia="Times New Roman" w:hAnsi="Times New Roman" w:cs="Times New Roman"/>
          <w:sz w:val="24"/>
          <w:szCs w:val="24"/>
          <w:lang w:eastAsia="bg-BG"/>
        </w:rPr>
      </w:pPr>
      <w:r w:rsidRPr="00730C57">
        <w:rPr>
          <w:rFonts w:ascii="Times New Roman" w:eastAsia="Times New Roman" w:hAnsi="Times New Roman" w:cs="Times New Roman"/>
          <w:sz w:val="24"/>
          <w:szCs w:val="24"/>
          <w:lang w:eastAsia="bg-BG"/>
        </w:rPr>
        <w:lastRenderedPageBreak/>
        <w:t>Друга функция, която изпълняват турбогенераторите на ТЕЦ, е възстановяването на системата след тежки аварии или т. нар „черен старт“, което по същността си е услуга от първостепенно значение в критични ситуации, която не може да бъде предоставяна от алтернативните източници</w:t>
      </w:r>
      <w:r>
        <w:rPr>
          <w:rFonts w:ascii="Times New Roman" w:eastAsia="Times New Roman" w:hAnsi="Times New Roman" w:cs="Times New Roman"/>
          <w:sz w:val="24"/>
          <w:szCs w:val="24"/>
          <w:lang w:eastAsia="bg-BG"/>
        </w:rPr>
        <w:t xml:space="preserve"> </w:t>
      </w:r>
      <w:r w:rsidRPr="00730C57">
        <w:rPr>
          <w:rFonts w:ascii="Times New Roman" w:eastAsia="Times New Roman" w:hAnsi="Times New Roman" w:cs="Times New Roman"/>
          <w:sz w:val="24"/>
          <w:szCs w:val="24"/>
          <w:lang w:eastAsia="bg-BG"/>
        </w:rPr>
        <w:t>поради невъзможността им да формират енергийни възстановителни коридори.</w:t>
      </w:r>
    </w:p>
    <w:p w14:paraId="3930CB1A" w14:textId="77777777" w:rsidR="004B4750" w:rsidRDefault="004B4750" w:rsidP="004B4750">
      <w:pPr>
        <w:autoSpaceDE w:val="0"/>
        <w:autoSpaceDN w:val="0"/>
        <w:adjustRightInd w:val="0"/>
        <w:spacing w:after="120" w:line="240" w:lineRule="auto"/>
        <w:jc w:val="both"/>
        <w:rPr>
          <w:rFonts w:ascii="Times New Roman" w:eastAsia="Times New Roman" w:hAnsi="Times New Roman" w:cs="Times New Roman"/>
          <w:sz w:val="24"/>
          <w:szCs w:val="24"/>
          <w:lang w:eastAsia="bg-BG"/>
        </w:rPr>
      </w:pPr>
    </w:p>
    <w:p w14:paraId="2934F9B3" w14:textId="77777777" w:rsidR="00F569F7" w:rsidRPr="00F113DA" w:rsidRDefault="00F569F7" w:rsidP="004B4750">
      <w:pPr>
        <w:autoSpaceDE w:val="0"/>
        <w:autoSpaceDN w:val="0"/>
        <w:adjustRightInd w:val="0"/>
        <w:spacing w:after="120" w:line="240" w:lineRule="auto"/>
        <w:jc w:val="both"/>
        <w:rPr>
          <w:rFonts w:ascii="Times New Roman" w:eastAsia="Times New Roman" w:hAnsi="Times New Roman" w:cs="Times New Roman"/>
          <w:sz w:val="24"/>
          <w:szCs w:val="24"/>
          <w:lang w:eastAsia="bg-BG"/>
        </w:rPr>
      </w:pPr>
    </w:p>
    <w:p w14:paraId="17FA60B0" w14:textId="5436DB8F" w:rsidR="00101885" w:rsidRPr="001E36A9" w:rsidRDefault="00101885">
      <w:pPr>
        <w:autoSpaceDE w:val="0"/>
        <w:autoSpaceDN w:val="0"/>
        <w:adjustRightInd w:val="0"/>
        <w:spacing w:after="120" w:line="240" w:lineRule="auto"/>
        <w:jc w:val="both"/>
        <w:rPr>
          <w:rFonts w:ascii="Times New Roman" w:eastAsia="Times New Roman" w:hAnsi="Times New Roman" w:cs="Times New Roman"/>
          <w:b/>
          <w:sz w:val="24"/>
          <w:szCs w:val="24"/>
          <w:lang w:eastAsia="bg-BG"/>
        </w:rPr>
      </w:pPr>
      <w:r w:rsidRPr="001E36A9">
        <w:rPr>
          <w:rFonts w:ascii="Times New Roman" w:eastAsia="Times New Roman" w:hAnsi="Times New Roman" w:cs="Times New Roman"/>
          <w:b/>
          <w:sz w:val="24"/>
          <w:szCs w:val="24"/>
          <w:lang w:eastAsia="bg-BG"/>
        </w:rPr>
        <w:t xml:space="preserve">Ето защо, </w:t>
      </w:r>
      <w:r w:rsidR="0065486F" w:rsidRPr="001E36A9">
        <w:rPr>
          <w:rFonts w:ascii="Times New Roman" w:eastAsia="Times New Roman" w:hAnsi="Times New Roman" w:cs="Times New Roman"/>
          <w:b/>
          <w:sz w:val="24"/>
          <w:szCs w:val="24"/>
          <w:lang w:eastAsia="bg-BG"/>
        </w:rPr>
        <w:t>включването на „ТЕЦ Марица изток 2“</w:t>
      </w:r>
      <w:r w:rsidR="0005667E" w:rsidRPr="001E36A9">
        <w:rPr>
          <w:rFonts w:ascii="Times New Roman" w:eastAsia="Times New Roman" w:hAnsi="Times New Roman" w:cs="Times New Roman"/>
          <w:b/>
          <w:sz w:val="24"/>
          <w:szCs w:val="24"/>
          <w:lang w:eastAsia="bg-BG"/>
        </w:rPr>
        <w:t xml:space="preserve"> </w:t>
      </w:r>
      <w:r w:rsidR="0065486F" w:rsidRPr="001E36A9">
        <w:rPr>
          <w:rFonts w:ascii="Times New Roman" w:eastAsia="Times New Roman" w:hAnsi="Times New Roman" w:cs="Times New Roman"/>
          <w:b/>
          <w:sz w:val="24"/>
          <w:szCs w:val="24"/>
          <w:lang w:eastAsia="bg-BG"/>
        </w:rPr>
        <w:t>ЕАД в регулирания микс за новия регул</w:t>
      </w:r>
      <w:r w:rsidR="009A1F90" w:rsidRPr="001E36A9">
        <w:rPr>
          <w:rFonts w:ascii="Times New Roman" w:eastAsia="Times New Roman" w:hAnsi="Times New Roman" w:cs="Times New Roman"/>
          <w:b/>
          <w:sz w:val="24"/>
          <w:szCs w:val="24"/>
          <w:lang w:eastAsia="bg-BG"/>
        </w:rPr>
        <w:t>а</w:t>
      </w:r>
      <w:r w:rsidR="0065486F" w:rsidRPr="001E36A9">
        <w:rPr>
          <w:rFonts w:ascii="Times New Roman" w:eastAsia="Times New Roman" w:hAnsi="Times New Roman" w:cs="Times New Roman"/>
          <w:b/>
          <w:sz w:val="24"/>
          <w:szCs w:val="24"/>
          <w:lang w:eastAsia="bg-BG"/>
        </w:rPr>
        <w:t>торен период от 01.07.202</w:t>
      </w:r>
      <w:r w:rsidR="00D237CC" w:rsidRPr="001E36A9">
        <w:rPr>
          <w:rFonts w:ascii="Times New Roman" w:eastAsia="Times New Roman" w:hAnsi="Times New Roman" w:cs="Times New Roman"/>
          <w:b/>
          <w:sz w:val="24"/>
          <w:szCs w:val="24"/>
          <w:lang w:eastAsia="bg-BG"/>
        </w:rPr>
        <w:t>5</w:t>
      </w:r>
      <w:r w:rsidR="0065486F" w:rsidRPr="001E36A9">
        <w:rPr>
          <w:rFonts w:ascii="Times New Roman" w:eastAsia="Times New Roman" w:hAnsi="Times New Roman" w:cs="Times New Roman"/>
          <w:b/>
          <w:sz w:val="24"/>
          <w:szCs w:val="24"/>
          <w:lang w:eastAsia="bg-BG"/>
        </w:rPr>
        <w:t>-30.06.202</w:t>
      </w:r>
      <w:r w:rsidR="00D237CC" w:rsidRPr="001E36A9">
        <w:rPr>
          <w:rFonts w:ascii="Times New Roman" w:eastAsia="Times New Roman" w:hAnsi="Times New Roman" w:cs="Times New Roman"/>
          <w:b/>
          <w:sz w:val="24"/>
          <w:szCs w:val="24"/>
          <w:lang w:eastAsia="bg-BG"/>
        </w:rPr>
        <w:t>6</w:t>
      </w:r>
      <w:r w:rsidR="0065486F" w:rsidRPr="001E36A9">
        <w:rPr>
          <w:rFonts w:ascii="Times New Roman" w:eastAsia="Times New Roman" w:hAnsi="Times New Roman" w:cs="Times New Roman"/>
          <w:b/>
          <w:sz w:val="24"/>
          <w:szCs w:val="24"/>
          <w:lang w:eastAsia="bg-BG"/>
        </w:rPr>
        <w:t xml:space="preserve"> г.,</w:t>
      </w:r>
      <w:r w:rsidRPr="001E36A9">
        <w:rPr>
          <w:rFonts w:ascii="Times New Roman" w:eastAsia="Times New Roman" w:hAnsi="Times New Roman" w:cs="Times New Roman"/>
          <w:b/>
          <w:sz w:val="24"/>
          <w:szCs w:val="24"/>
          <w:lang w:eastAsia="bg-BG"/>
        </w:rPr>
        <w:t xml:space="preserve"> има за цел да осигур</w:t>
      </w:r>
      <w:r w:rsidR="0065486F" w:rsidRPr="001E36A9">
        <w:rPr>
          <w:rFonts w:ascii="Times New Roman" w:eastAsia="Times New Roman" w:hAnsi="Times New Roman" w:cs="Times New Roman"/>
          <w:b/>
          <w:sz w:val="24"/>
          <w:szCs w:val="24"/>
          <w:lang w:eastAsia="bg-BG"/>
        </w:rPr>
        <w:t>и</w:t>
      </w:r>
      <w:r w:rsidRPr="001E36A9">
        <w:rPr>
          <w:rFonts w:ascii="Times New Roman" w:eastAsia="Times New Roman" w:hAnsi="Times New Roman" w:cs="Times New Roman"/>
          <w:b/>
          <w:sz w:val="24"/>
          <w:szCs w:val="24"/>
          <w:lang w:eastAsia="bg-BG"/>
        </w:rPr>
        <w:t xml:space="preserve"> гаран</w:t>
      </w:r>
      <w:r w:rsidR="0065486F" w:rsidRPr="001E36A9">
        <w:rPr>
          <w:rFonts w:ascii="Times New Roman" w:eastAsia="Times New Roman" w:hAnsi="Times New Roman" w:cs="Times New Roman"/>
          <w:b/>
          <w:sz w:val="24"/>
          <w:szCs w:val="24"/>
          <w:lang w:eastAsia="bg-BG"/>
        </w:rPr>
        <w:t>тиране на енергийните доставки на територията на страната.</w:t>
      </w:r>
    </w:p>
    <w:p w14:paraId="40032A81" w14:textId="77777777" w:rsidR="00F569F7" w:rsidRPr="00D237CC" w:rsidRDefault="00F569F7">
      <w:pPr>
        <w:autoSpaceDE w:val="0"/>
        <w:autoSpaceDN w:val="0"/>
        <w:adjustRightInd w:val="0"/>
        <w:spacing w:after="120" w:line="240" w:lineRule="auto"/>
        <w:jc w:val="both"/>
        <w:rPr>
          <w:rFonts w:ascii="Times New Roman" w:eastAsia="Times New Roman" w:hAnsi="Times New Roman" w:cs="Times New Roman"/>
          <w:b/>
          <w:sz w:val="24"/>
          <w:szCs w:val="24"/>
          <w:highlight w:val="yellow"/>
          <w:lang w:eastAsia="bg-BG"/>
        </w:rPr>
      </w:pPr>
    </w:p>
    <w:p w14:paraId="5A465734" w14:textId="6CE9E3AF" w:rsidR="00257C90" w:rsidRPr="00257C90" w:rsidRDefault="00257C90">
      <w:pPr>
        <w:spacing w:after="120" w:line="240" w:lineRule="auto"/>
        <w:jc w:val="both"/>
        <w:rPr>
          <w:rFonts w:ascii="Times New Roman" w:eastAsia="Times New Roman" w:hAnsi="Times New Roman" w:cs="Times New Roman"/>
          <w:b/>
          <w:i/>
          <w:sz w:val="24"/>
          <w:szCs w:val="24"/>
          <w:lang w:eastAsia="bg-BG"/>
        </w:rPr>
      </w:pPr>
      <w:r w:rsidRPr="001E36A9">
        <w:rPr>
          <w:rFonts w:ascii="Times New Roman" w:eastAsia="Times New Roman" w:hAnsi="Times New Roman" w:cs="Times New Roman"/>
          <w:b/>
          <w:i/>
          <w:sz w:val="24"/>
          <w:szCs w:val="24"/>
          <w:lang w:eastAsia="bg-BG"/>
        </w:rPr>
        <w:t>Въз основа на гореизложеното и на основание чл. 4 ал. 1 т. 1 от Наредбата за регулиране на цените на електрическата енергия, предлагаме КЕВР да утвърди за периода от 01.07.20</w:t>
      </w:r>
      <w:r w:rsidR="00044807" w:rsidRPr="001E36A9">
        <w:rPr>
          <w:rFonts w:ascii="Times New Roman" w:eastAsia="Times New Roman" w:hAnsi="Times New Roman" w:cs="Times New Roman"/>
          <w:b/>
          <w:i/>
          <w:sz w:val="24"/>
          <w:szCs w:val="24"/>
          <w:lang w:eastAsia="bg-BG"/>
        </w:rPr>
        <w:t>2</w:t>
      </w:r>
      <w:r w:rsidR="00D237CC" w:rsidRPr="001E36A9">
        <w:rPr>
          <w:rFonts w:ascii="Times New Roman" w:eastAsia="Times New Roman" w:hAnsi="Times New Roman" w:cs="Times New Roman"/>
          <w:b/>
          <w:i/>
          <w:sz w:val="24"/>
          <w:szCs w:val="24"/>
          <w:lang w:eastAsia="bg-BG"/>
        </w:rPr>
        <w:t>5</w:t>
      </w:r>
      <w:r w:rsidRPr="001E36A9">
        <w:rPr>
          <w:rFonts w:ascii="Times New Roman" w:eastAsia="Times New Roman" w:hAnsi="Times New Roman" w:cs="Times New Roman"/>
          <w:b/>
          <w:i/>
          <w:sz w:val="24"/>
          <w:szCs w:val="24"/>
          <w:lang w:eastAsia="bg-BG"/>
        </w:rPr>
        <w:t xml:space="preserve"> до 30.06.202</w:t>
      </w:r>
      <w:r w:rsidR="00D237CC" w:rsidRPr="001E36A9">
        <w:rPr>
          <w:rFonts w:ascii="Times New Roman" w:eastAsia="Times New Roman" w:hAnsi="Times New Roman" w:cs="Times New Roman"/>
          <w:b/>
          <w:i/>
          <w:sz w:val="24"/>
          <w:szCs w:val="24"/>
          <w:lang w:eastAsia="bg-BG"/>
        </w:rPr>
        <w:t>6</w:t>
      </w:r>
      <w:r w:rsidRPr="001E36A9">
        <w:rPr>
          <w:rFonts w:ascii="Times New Roman" w:eastAsia="Times New Roman" w:hAnsi="Times New Roman" w:cs="Times New Roman"/>
          <w:b/>
          <w:i/>
          <w:sz w:val="24"/>
          <w:szCs w:val="24"/>
          <w:lang w:eastAsia="bg-BG"/>
        </w:rPr>
        <w:t xml:space="preserve"> година:</w:t>
      </w:r>
      <w:r w:rsidRPr="00257C90">
        <w:rPr>
          <w:rFonts w:ascii="Times New Roman" w:eastAsia="Times New Roman" w:hAnsi="Times New Roman" w:cs="Times New Roman"/>
          <w:b/>
          <w:i/>
          <w:sz w:val="24"/>
          <w:szCs w:val="24"/>
          <w:lang w:eastAsia="bg-BG"/>
        </w:rPr>
        <w:t xml:space="preserve"> </w:t>
      </w:r>
    </w:p>
    <w:p w14:paraId="3EE247A7" w14:textId="5BD5C5FE" w:rsidR="00257C90" w:rsidRDefault="00257C90">
      <w:pPr>
        <w:numPr>
          <w:ilvl w:val="0"/>
          <w:numId w:val="6"/>
        </w:numPr>
        <w:tabs>
          <w:tab w:val="num" w:pos="600"/>
        </w:tabs>
        <w:spacing w:after="120" w:line="240" w:lineRule="auto"/>
        <w:rPr>
          <w:rFonts w:ascii="Times New Roman" w:eastAsia="Times New Roman" w:hAnsi="Times New Roman" w:cs="Times New Roman"/>
          <w:b/>
          <w:i/>
          <w:sz w:val="24"/>
          <w:szCs w:val="24"/>
          <w:lang w:eastAsia="bg-BG"/>
        </w:rPr>
      </w:pPr>
      <w:r w:rsidRPr="00257C90">
        <w:rPr>
          <w:rFonts w:ascii="Times New Roman" w:eastAsia="Times New Roman" w:hAnsi="Times New Roman" w:cs="Times New Roman"/>
          <w:b/>
          <w:i/>
          <w:sz w:val="24"/>
          <w:szCs w:val="24"/>
          <w:lang w:eastAsia="bg-BG"/>
        </w:rPr>
        <w:t xml:space="preserve">Еднокомпонентна (пълна) </w:t>
      </w:r>
      <w:r w:rsidR="00B10194">
        <w:rPr>
          <w:rFonts w:ascii="Times New Roman" w:eastAsia="Times New Roman" w:hAnsi="Times New Roman" w:cs="Times New Roman"/>
          <w:b/>
          <w:i/>
          <w:sz w:val="24"/>
          <w:szCs w:val="24"/>
          <w:lang w:eastAsia="bg-BG"/>
        </w:rPr>
        <w:t xml:space="preserve">цена на електрическа енергия – </w:t>
      </w:r>
      <w:r w:rsidR="00DC5311">
        <w:rPr>
          <w:rFonts w:ascii="Times New Roman" w:eastAsia="Times New Roman" w:hAnsi="Times New Roman" w:cs="Times New Roman"/>
          <w:b/>
          <w:i/>
          <w:sz w:val="24"/>
          <w:szCs w:val="24"/>
          <w:lang w:eastAsia="bg-BG"/>
        </w:rPr>
        <w:t>……….</w:t>
      </w:r>
      <w:r w:rsidRPr="00257C90">
        <w:rPr>
          <w:rFonts w:ascii="Times New Roman" w:eastAsia="Times New Roman" w:hAnsi="Times New Roman" w:cs="Times New Roman"/>
          <w:b/>
          <w:i/>
          <w:sz w:val="24"/>
          <w:szCs w:val="24"/>
          <w:lang w:eastAsia="bg-BG"/>
        </w:rPr>
        <w:t xml:space="preserve"> лв./</w:t>
      </w:r>
      <w:proofErr w:type="spellStart"/>
      <w:r w:rsidRPr="00257C90">
        <w:rPr>
          <w:rFonts w:ascii="Times New Roman" w:eastAsia="Times New Roman" w:hAnsi="Times New Roman" w:cs="Times New Roman"/>
          <w:b/>
          <w:i/>
          <w:sz w:val="24"/>
          <w:szCs w:val="24"/>
          <w:lang w:eastAsia="bg-BG"/>
        </w:rPr>
        <w:t>МВтч</w:t>
      </w:r>
      <w:proofErr w:type="spellEnd"/>
      <w:r w:rsidR="0065486F">
        <w:rPr>
          <w:rFonts w:ascii="Times New Roman" w:eastAsia="Times New Roman" w:hAnsi="Times New Roman" w:cs="Times New Roman"/>
          <w:b/>
          <w:i/>
          <w:sz w:val="24"/>
          <w:szCs w:val="24"/>
          <w:lang w:eastAsia="bg-BG"/>
        </w:rPr>
        <w:t xml:space="preserve">, при необходими приходи от </w:t>
      </w:r>
      <w:r w:rsidR="00DC5311">
        <w:rPr>
          <w:rFonts w:ascii="Times New Roman" w:eastAsia="Times New Roman" w:hAnsi="Times New Roman" w:cs="Times New Roman"/>
          <w:b/>
          <w:i/>
          <w:sz w:val="24"/>
          <w:szCs w:val="24"/>
          <w:lang w:eastAsia="bg-BG"/>
        </w:rPr>
        <w:t>……….</w:t>
      </w:r>
      <w:r w:rsidR="0065486F">
        <w:rPr>
          <w:rFonts w:ascii="Times New Roman" w:eastAsia="Times New Roman" w:hAnsi="Times New Roman" w:cs="Times New Roman"/>
          <w:b/>
          <w:i/>
          <w:sz w:val="24"/>
          <w:szCs w:val="24"/>
          <w:lang w:eastAsia="bg-BG"/>
        </w:rPr>
        <w:t xml:space="preserve"> </w:t>
      </w:r>
      <w:proofErr w:type="spellStart"/>
      <w:r w:rsidR="0065486F">
        <w:rPr>
          <w:rFonts w:ascii="Times New Roman" w:eastAsia="Times New Roman" w:hAnsi="Times New Roman" w:cs="Times New Roman"/>
          <w:b/>
          <w:i/>
          <w:sz w:val="24"/>
          <w:szCs w:val="24"/>
          <w:lang w:eastAsia="bg-BG"/>
        </w:rPr>
        <w:t>хил.лв</w:t>
      </w:r>
      <w:proofErr w:type="spellEnd"/>
      <w:r w:rsidR="0065486F">
        <w:rPr>
          <w:rFonts w:ascii="Times New Roman" w:eastAsia="Times New Roman" w:hAnsi="Times New Roman" w:cs="Times New Roman"/>
          <w:b/>
          <w:i/>
          <w:sz w:val="24"/>
          <w:szCs w:val="24"/>
          <w:lang w:eastAsia="bg-BG"/>
        </w:rPr>
        <w:t xml:space="preserve">. и произведена нетна електрическа енергия, в размер на </w:t>
      </w:r>
      <w:r w:rsidR="00DC5311">
        <w:rPr>
          <w:rFonts w:ascii="Times New Roman" w:eastAsia="Times New Roman" w:hAnsi="Times New Roman" w:cs="Times New Roman"/>
          <w:b/>
          <w:i/>
          <w:sz w:val="24"/>
          <w:szCs w:val="24"/>
          <w:lang w:eastAsia="bg-BG"/>
        </w:rPr>
        <w:t>……………</w:t>
      </w:r>
      <w:r w:rsidR="0065486F">
        <w:rPr>
          <w:rFonts w:ascii="Times New Roman" w:eastAsia="Times New Roman" w:hAnsi="Times New Roman" w:cs="Times New Roman"/>
          <w:b/>
          <w:i/>
          <w:sz w:val="24"/>
          <w:szCs w:val="24"/>
          <w:lang w:eastAsia="bg-BG"/>
        </w:rPr>
        <w:t xml:space="preserve"> </w:t>
      </w:r>
      <w:proofErr w:type="spellStart"/>
      <w:r w:rsidR="0065486F">
        <w:rPr>
          <w:rFonts w:ascii="Times New Roman" w:eastAsia="Times New Roman" w:hAnsi="Times New Roman" w:cs="Times New Roman"/>
          <w:b/>
          <w:i/>
          <w:sz w:val="24"/>
          <w:szCs w:val="24"/>
          <w:lang w:eastAsia="bg-BG"/>
        </w:rPr>
        <w:t>МВтч</w:t>
      </w:r>
      <w:proofErr w:type="spellEnd"/>
      <w:r w:rsidR="0065486F">
        <w:rPr>
          <w:rFonts w:ascii="Times New Roman" w:eastAsia="Times New Roman" w:hAnsi="Times New Roman" w:cs="Times New Roman"/>
          <w:b/>
          <w:i/>
          <w:sz w:val="24"/>
          <w:szCs w:val="24"/>
          <w:lang w:eastAsia="bg-BG"/>
        </w:rPr>
        <w:t>.</w:t>
      </w:r>
    </w:p>
    <w:p w14:paraId="1985BA3A" w14:textId="5E7E4FC0" w:rsidR="00B60830" w:rsidRDefault="00B60830" w:rsidP="003D51C0">
      <w:pPr>
        <w:pStyle w:val="ListParagraph"/>
        <w:spacing w:after="120" w:line="240" w:lineRule="auto"/>
        <w:jc w:val="both"/>
        <w:rPr>
          <w:rFonts w:ascii="Times New Roman" w:eastAsia="Times New Roman" w:hAnsi="Times New Roman" w:cs="Times New Roman"/>
          <w:b/>
          <w:sz w:val="24"/>
          <w:szCs w:val="24"/>
          <w:lang w:eastAsia="bg-BG"/>
        </w:rPr>
      </w:pPr>
    </w:p>
    <w:p w14:paraId="2EC65D01" w14:textId="0AEACA8E" w:rsidR="00F83BC9" w:rsidRDefault="00F83BC9" w:rsidP="00F83BC9">
      <w:pPr>
        <w:pStyle w:val="ListParagraph"/>
        <w:spacing w:after="120" w:line="240" w:lineRule="auto"/>
        <w:jc w:val="both"/>
        <w:rPr>
          <w:rFonts w:ascii="Times New Roman" w:eastAsia="Times New Roman" w:hAnsi="Times New Roman" w:cs="Times New Roman"/>
          <w:b/>
          <w:sz w:val="24"/>
          <w:szCs w:val="24"/>
          <w:lang w:eastAsia="bg-BG"/>
        </w:rPr>
      </w:pPr>
    </w:p>
    <w:p w14:paraId="6C695F3B" w14:textId="21775CBC" w:rsidR="00F83BC9" w:rsidRDefault="00F83BC9" w:rsidP="00F83BC9">
      <w:pPr>
        <w:pStyle w:val="ListParagraph"/>
        <w:spacing w:after="120" w:line="240" w:lineRule="auto"/>
        <w:jc w:val="both"/>
        <w:rPr>
          <w:rFonts w:ascii="Times New Roman" w:eastAsia="Times New Roman" w:hAnsi="Times New Roman" w:cs="Times New Roman"/>
          <w:b/>
          <w:sz w:val="24"/>
          <w:szCs w:val="24"/>
          <w:lang w:eastAsia="bg-BG"/>
        </w:rPr>
      </w:pPr>
    </w:p>
    <w:p w14:paraId="7B2D6D56" w14:textId="18C882AB" w:rsidR="00F83BC9" w:rsidRDefault="00F83BC9" w:rsidP="00F83BC9">
      <w:pPr>
        <w:pStyle w:val="ListParagraph"/>
        <w:spacing w:after="120" w:line="240" w:lineRule="auto"/>
        <w:jc w:val="both"/>
        <w:rPr>
          <w:rFonts w:ascii="Times New Roman" w:eastAsia="Times New Roman" w:hAnsi="Times New Roman" w:cs="Times New Roman"/>
          <w:b/>
          <w:sz w:val="24"/>
          <w:szCs w:val="24"/>
          <w:lang w:eastAsia="bg-BG"/>
        </w:rPr>
      </w:pPr>
    </w:p>
    <w:p w14:paraId="5F498880" w14:textId="77777777" w:rsidR="00F83BC9" w:rsidRDefault="00F83BC9" w:rsidP="00F83BC9">
      <w:pPr>
        <w:pStyle w:val="ListParagraph"/>
        <w:spacing w:after="120" w:line="240" w:lineRule="auto"/>
        <w:jc w:val="both"/>
        <w:rPr>
          <w:rFonts w:ascii="Times New Roman" w:eastAsia="Times New Roman" w:hAnsi="Times New Roman" w:cs="Times New Roman"/>
          <w:b/>
          <w:sz w:val="24"/>
          <w:szCs w:val="24"/>
          <w:lang w:eastAsia="bg-BG"/>
        </w:rPr>
      </w:pPr>
      <w:bookmarkStart w:id="6" w:name="_GoBack"/>
      <w:bookmarkEnd w:id="6"/>
    </w:p>
    <w:p w14:paraId="0BCDF235" w14:textId="637C89A7" w:rsidR="00F16E11" w:rsidRPr="00B271A9" w:rsidRDefault="00F16E11" w:rsidP="00F83BC9">
      <w:pPr>
        <w:spacing w:after="0" w:line="240" w:lineRule="auto"/>
        <w:jc w:val="both"/>
        <w:rPr>
          <w:rFonts w:ascii="Times New Roman" w:eastAsia="Times New Roman" w:hAnsi="Times New Roman" w:cs="Times New Roman"/>
          <w:b/>
          <w:i/>
          <w:sz w:val="24"/>
          <w:szCs w:val="24"/>
          <w:lang w:eastAsia="bg-BG"/>
        </w:rPr>
      </w:pPr>
      <w:r w:rsidRPr="00B271A9">
        <w:rPr>
          <w:rFonts w:ascii="Times New Roman" w:eastAsia="Times New Roman" w:hAnsi="Times New Roman" w:cs="Times New Roman"/>
          <w:b/>
          <w:i/>
          <w:sz w:val="24"/>
          <w:szCs w:val="24"/>
          <w:lang w:eastAsia="bg-BG"/>
        </w:rPr>
        <w:t>С уважение,</w:t>
      </w:r>
    </w:p>
    <w:p w14:paraId="76D1A38F" w14:textId="77777777" w:rsidR="00F16E11" w:rsidRPr="00B271A9" w:rsidRDefault="00F16E11">
      <w:pPr>
        <w:spacing w:after="0" w:line="240" w:lineRule="auto"/>
        <w:jc w:val="both"/>
        <w:rPr>
          <w:rFonts w:ascii="Times New Roman" w:eastAsia="Times New Roman" w:hAnsi="Times New Roman" w:cs="Times New Roman"/>
          <w:b/>
          <w:i/>
          <w:sz w:val="24"/>
          <w:szCs w:val="24"/>
          <w:lang w:eastAsia="bg-BG"/>
        </w:rPr>
      </w:pPr>
    </w:p>
    <w:p w14:paraId="3BB9AA4E" w14:textId="34795EE7" w:rsidR="00F16E11" w:rsidRPr="00593019" w:rsidRDefault="00D237CC">
      <w:pPr>
        <w:spacing w:after="0" w:line="240" w:lineRule="auto"/>
        <w:jc w:val="both"/>
        <w:rPr>
          <w:rFonts w:ascii="Times New Roman" w:eastAsia="Times New Roman" w:hAnsi="Times New Roman" w:cs="Times New Roman"/>
          <w:b/>
          <w:i/>
          <w:sz w:val="24"/>
          <w:szCs w:val="24"/>
          <w:lang w:val="en-US" w:eastAsia="bg-BG"/>
        </w:rPr>
      </w:pPr>
      <w:r w:rsidRPr="00B271A9">
        <w:rPr>
          <w:rFonts w:ascii="Times New Roman" w:eastAsia="Times New Roman" w:hAnsi="Times New Roman" w:cs="Times New Roman"/>
          <w:b/>
          <w:i/>
          <w:sz w:val="24"/>
          <w:szCs w:val="24"/>
          <w:lang w:eastAsia="bg-BG"/>
        </w:rPr>
        <w:t>Диян Станимиров</w:t>
      </w:r>
      <w:r w:rsidR="00F16E11" w:rsidRPr="00B271A9">
        <w:rPr>
          <w:rFonts w:ascii="Times New Roman" w:eastAsia="Times New Roman" w:hAnsi="Times New Roman" w:cs="Times New Roman"/>
          <w:b/>
          <w:i/>
          <w:sz w:val="24"/>
          <w:szCs w:val="24"/>
          <w:lang w:eastAsia="bg-BG"/>
        </w:rPr>
        <w:t xml:space="preserve"> Димитров   </w:t>
      </w:r>
      <w:r w:rsidR="00593019" w:rsidRPr="00B271A9">
        <w:rPr>
          <w:rFonts w:ascii="Times New Roman" w:eastAsia="Times New Roman" w:hAnsi="Times New Roman" w:cs="Times New Roman"/>
          <w:b/>
          <w:i/>
          <w:sz w:val="24"/>
          <w:szCs w:val="24"/>
          <w:lang w:val="en-US" w:eastAsia="bg-BG"/>
        </w:rPr>
        <w:t xml:space="preserve">-   </w:t>
      </w:r>
      <w:r w:rsidR="00F16E11" w:rsidRPr="00B271A9">
        <w:rPr>
          <w:rFonts w:ascii="Times New Roman" w:eastAsia="Times New Roman" w:hAnsi="Times New Roman" w:cs="Times New Roman"/>
          <w:b/>
          <w:i/>
          <w:sz w:val="24"/>
          <w:szCs w:val="24"/>
          <w:lang w:eastAsia="bg-BG"/>
        </w:rPr>
        <w:t>Изп</w:t>
      </w:r>
      <w:r w:rsidR="00593019" w:rsidRPr="00B271A9">
        <w:rPr>
          <w:rFonts w:ascii="Times New Roman" w:eastAsia="Times New Roman" w:hAnsi="Times New Roman" w:cs="Times New Roman"/>
          <w:b/>
          <w:i/>
          <w:sz w:val="24"/>
          <w:szCs w:val="24"/>
          <w:lang w:eastAsia="bg-BG"/>
        </w:rPr>
        <w:t xml:space="preserve">ълнителен </w:t>
      </w:r>
      <w:r w:rsidR="00F16E11" w:rsidRPr="00B271A9">
        <w:rPr>
          <w:rFonts w:ascii="Times New Roman" w:eastAsia="Times New Roman" w:hAnsi="Times New Roman" w:cs="Times New Roman"/>
          <w:b/>
          <w:i/>
          <w:sz w:val="24"/>
          <w:szCs w:val="24"/>
          <w:lang w:eastAsia="bg-BG"/>
        </w:rPr>
        <w:t>Директор</w:t>
      </w:r>
    </w:p>
    <w:sectPr w:rsidR="00F16E11" w:rsidRPr="00593019">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1D43C4" w14:textId="77777777" w:rsidR="003D3BF2" w:rsidRDefault="003D3BF2" w:rsidP="009B00EB">
      <w:pPr>
        <w:spacing w:after="0" w:line="240" w:lineRule="auto"/>
      </w:pPr>
      <w:r>
        <w:separator/>
      </w:r>
    </w:p>
  </w:endnote>
  <w:endnote w:type="continuationSeparator" w:id="0">
    <w:p w14:paraId="5DF1FDA3" w14:textId="77777777" w:rsidR="003D3BF2" w:rsidRDefault="003D3BF2" w:rsidP="009B00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EYInterstate Light">
    <w:altName w:val="Times New Roman"/>
    <w:charset w:val="CC"/>
    <w:family w:val="auto"/>
    <w:pitch w:val="variable"/>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hruti">
    <w:panose1 w:val="02000500000000000000"/>
    <w:charset w:val="00"/>
    <w:family w:val="swiss"/>
    <w:pitch w:val="variable"/>
    <w:sig w:usb0="0004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2585950"/>
      <w:docPartObj>
        <w:docPartGallery w:val="Page Numbers (Bottom of Page)"/>
        <w:docPartUnique/>
      </w:docPartObj>
    </w:sdtPr>
    <w:sdtEndPr>
      <w:rPr>
        <w:noProof/>
      </w:rPr>
    </w:sdtEndPr>
    <w:sdtContent>
      <w:p w14:paraId="4F8C2CB9" w14:textId="46141AEB" w:rsidR="00EF6EED" w:rsidRDefault="00EF6EE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6C8A03A" w14:textId="77777777" w:rsidR="00EF6EED" w:rsidRDefault="00EF6E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0CA631" w14:textId="77777777" w:rsidR="003D3BF2" w:rsidRDefault="003D3BF2" w:rsidP="009B00EB">
      <w:pPr>
        <w:spacing w:after="0" w:line="240" w:lineRule="auto"/>
      </w:pPr>
      <w:r>
        <w:separator/>
      </w:r>
    </w:p>
  </w:footnote>
  <w:footnote w:type="continuationSeparator" w:id="0">
    <w:p w14:paraId="1CC9DF76" w14:textId="77777777" w:rsidR="003D3BF2" w:rsidRDefault="003D3BF2" w:rsidP="009B00EB">
      <w:pPr>
        <w:spacing w:after="0" w:line="240" w:lineRule="auto"/>
      </w:pPr>
      <w:r>
        <w:continuationSeparator/>
      </w:r>
    </w:p>
  </w:footnote>
  <w:footnote w:id="1">
    <w:p w14:paraId="7BA7FEBB" w14:textId="3224A359" w:rsidR="00EF6EED" w:rsidRDefault="00EF6EED">
      <w:pPr>
        <w:pStyle w:val="FootnoteText"/>
      </w:pPr>
      <w:r>
        <w:rPr>
          <w:rStyle w:val="FootnoteReference"/>
        </w:rPr>
        <w:footnoteRef/>
      </w:r>
      <w:r>
        <w:t xml:space="preserve"> </w:t>
      </w:r>
      <w:r w:rsidRPr="00CE0278">
        <w:t>https://ibex.bg/%d0%b7%d0%b0-%d0%bd%d0%b0%d1%81/%d0%b4%d0%be%d0%ba%d0%bb%d0%b0%d0%b4%d0%b8-monthly-reports/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E8927" w14:textId="77777777" w:rsidR="00EF6EED" w:rsidRDefault="00EF6EED">
    <w:pPr>
      <w:pStyle w:val="Header"/>
    </w:pPr>
    <w:r w:rsidRPr="009B00EB">
      <w:rPr>
        <w:rFonts w:ascii="Times New Roman" w:eastAsia="Times New Roman" w:hAnsi="Times New Roman" w:cs="Times New Roman"/>
        <w:noProof/>
        <w:sz w:val="20"/>
        <w:szCs w:val="20"/>
        <w:lang w:eastAsia="bg-BG"/>
      </w:rPr>
      <w:drawing>
        <wp:inline distT="0" distB="0" distL="0" distR="0" wp14:anchorId="486E207D" wp14:editId="43E12D3B">
          <wp:extent cx="5760720" cy="623316"/>
          <wp:effectExtent l="0" t="0" r="0" b="5715"/>
          <wp:docPr id="1" name="Picture 1" descr="TPP2_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PP2_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23316"/>
                  </a:xfrm>
                  <a:prstGeom prst="rect">
                    <a:avLst/>
                  </a:prstGeom>
                  <a:noFill/>
                  <a:ln>
                    <a:noFill/>
                  </a:ln>
                </pic:spPr>
              </pic:pic>
            </a:graphicData>
          </a:graphic>
        </wp:inline>
      </w:drawing>
    </w:r>
  </w:p>
  <w:p w14:paraId="37307D69" w14:textId="77777777" w:rsidR="00EF6EED" w:rsidRDefault="00EF6E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00A77"/>
    <w:multiLevelType w:val="hybridMultilevel"/>
    <w:tmpl w:val="3F32CD9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04514D45"/>
    <w:multiLevelType w:val="hybridMultilevel"/>
    <w:tmpl w:val="4D8A26A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5D86E1B"/>
    <w:multiLevelType w:val="multilevel"/>
    <w:tmpl w:val="5A40DC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1F048FC"/>
    <w:multiLevelType w:val="multilevel"/>
    <w:tmpl w:val="68C017A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2916958"/>
    <w:multiLevelType w:val="hybridMultilevel"/>
    <w:tmpl w:val="59F475BE"/>
    <w:lvl w:ilvl="0" w:tplc="6004106C">
      <w:start w:val="4"/>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02843EE"/>
    <w:multiLevelType w:val="multilevel"/>
    <w:tmpl w:val="72E42FD0"/>
    <w:lvl w:ilvl="0">
      <w:start w:val="1"/>
      <w:numFmt w:val="decimal"/>
      <w:lvlText w:val="%1."/>
      <w:lvlJc w:val="left"/>
      <w:pPr>
        <w:ind w:left="720" w:hanging="360"/>
      </w:pPr>
      <w:rPr>
        <w:rFonts w:hint="default"/>
      </w:rPr>
    </w:lvl>
    <w:lvl w:ilvl="1">
      <w:start w:val="1"/>
      <w:numFmt w:val="decimal"/>
      <w:isLgl/>
      <w:lvlText w:val="%1.%2."/>
      <w:lvlJc w:val="left"/>
      <w:pPr>
        <w:ind w:left="1275" w:hanging="55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25887E9C"/>
    <w:multiLevelType w:val="hybridMultilevel"/>
    <w:tmpl w:val="B63CB65E"/>
    <w:lvl w:ilvl="0" w:tplc="ADE474D6">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7650B5D"/>
    <w:multiLevelType w:val="hybridMultilevel"/>
    <w:tmpl w:val="7F765C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C685E24"/>
    <w:multiLevelType w:val="hybridMultilevel"/>
    <w:tmpl w:val="A1EAF994"/>
    <w:lvl w:ilvl="0" w:tplc="04020001">
      <w:start w:val="1"/>
      <w:numFmt w:val="bullet"/>
      <w:lvlText w:val=""/>
      <w:lvlJc w:val="left"/>
      <w:pPr>
        <w:tabs>
          <w:tab w:val="num" w:pos="0"/>
        </w:tabs>
        <w:ind w:left="0" w:hanging="360"/>
      </w:pPr>
      <w:rPr>
        <w:rFonts w:ascii="Symbol" w:hAnsi="Symbol" w:hint="default"/>
      </w:rPr>
    </w:lvl>
    <w:lvl w:ilvl="1" w:tplc="53C419B0">
      <w:start w:val="1"/>
      <w:numFmt w:val="decimal"/>
      <w:lvlText w:val="%2."/>
      <w:lvlJc w:val="left"/>
      <w:pPr>
        <w:tabs>
          <w:tab w:val="num" w:pos="720"/>
        </w:tabs>
        <w:ind w:left="720" w:hanging="360"/>
      </w:pPr>
      <w:rPr>
        <w:rFonts w:ascii="Times New Roman" w:eastAsia="Times New Roman" w:hAnsi="Times New Roman" w:cs="Times New Roman"/>
      </w:rPr>
    </w:lvl>
    <w:lvl w:ilvl="2" w:tplc="0402001B">
      <w:start w:val="1"/>
      <w:numFmt w:val="lowerRoman"/>
      <w:lvlText w:val="%3."/>
      <w:lvlJc w:val="right"/>
      <w:pPr>
        <w:tabs>
          <w:tab w:val="num" w:pos="1440"/>
        </w:tabs>
        <w:ind w:left="1440" w:hanging="180"/>
      </w:pPr>
    </w:lvl>
    <w:lvl w:ilvl="3" w:tplc="0402000F" w:tentative="1">
      <w:start w:val="1"/>
      <w:numFmt w:val="decimal"/>
      <w:lvlText w:val="%4."/>
      <w:lvlJc w:val="left"/>
      <w:pPr>
        <w:tabs>
          <w:tab w:val="num" w:pos="2160"/>
        </w:tabs>
        <w:ind w:left="2160" w:hanging="360"/>
      </w:pPr>
    </w:lvl>
    <w:lvl w:ilvl="4" w:tplc="04020019" w:tentative="1">
      <w:start w:val="1"/>
      <w:numFmt w:val="lowerLetter"/>
      <w:lvlText w:val="%5."/>
      <w:lvlJc w:val="left"/>
      <w:pPr>
        <w:tabs>
          <w:tab w:val="num" w:pos="2880"/>
        </w:tabs>
        <w:ind w:left="2880" w:hanging="360"/>
      </w:pPr>
    </w:lvl>
    <w:lvl w:ilvl="5" w:tplc="0402001B" w:tentative="1">
      <w:start w:val="1"/>
      <w:numFmt w:val="lowerRoman"/>
      <w:lvlText w:val="%6."/>
      <w:lvlJc w:val="right"/>
      <w:pPr>
        <w:tabs>
          <w:tab w:val="num" w:pos="3600"/>
        </w:tabs>
        <w:ind w:left="3600" w:hanging="180"/>
      </w:pPr>
    </w:lvl>
    <w:lvl w:ilvl="6" w:tplc="0402000F" w:tentative="1">
      <w:start w:val="1"/>
      <w:numFmt w:val="decimal"/>
      <w:lvlText w:val="%7."/>
      <w:lvlJc w:val="left"/>
      <w:pPr>
        <w:tabs>
          <w:tab w:val="num" w:pos="4320"/>
        </w:tabs>
        <w:ind w:left="4320" w:hanging="360"/>
      </w:pPr>
    </w:lvl>
    <w:lvl w:ilvl="7" w:tplc="04020019" w:tentative="1">
      <w:start w:val="1"/>
      <w:numFmt w:val="lowerLetter"/>
      <w:lvlText w:val="%8."/>
      <w:lvlJc w:val="left"/>
      <w:pPr>
        <w:tabs>
          <w:tab w:val="num" w:pos="5040"/>
        </w:tabs>
        <w:ind w:left="5040" w:hanging="360"/>
      </w:pPr>
    </w:lvl>
    <w:lvl w:ilvl="8" w:tplc="0402001B" w:tentative="1">
      <w:start w:val="1"/>
      <w:numFmt w:val="lowerRoman"/>
      <w:lvlText w:val="%9."/>
      <w:lvlJc w:val="right"/>
      <w:pPr>
        <w:tabs>
          <w:tab w:val="num" w:pos="5760"/>
        </w:tabs>
        <w:ind w:left="5760" w:hanging="180"/>
      </w:pPr>
    </w:lvl>
  </w:abstractNum>
  <w:abstractNum w:abstractNumId="9" w15:restartNumberingAfterBreak="0">
    <w:nsid w:val="30641A59"/>
    <w:multiLevelType w:val="multilevel"/>
    <w:tmpl w:val="200A62E0"/>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E05994"/>
    <w:multiLevelType w:val="hybridMultilevel"/>
    <w:tmpl w:val="ADEE22B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34567EF0"/>
    <w:multiLevelType w:val="hybridMultilevel"/>
    <w:tmpl w:val="4656A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74757"/>
    <w:multiLevelType w:val="hybridMultilevel"/>
    <w:tmpl w:val="D10C46F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45367AF9"/>
    <w:multiLevelType w:val="hybridMultilevel"/>
    <w:tmpl w:val="7DD6E490"/>
    <w:lvl w:ilvl="0" w:tplc="B316EF7E">
      <w:numFmt w:val="bullet"/>
      <w:lvlText w:val=""/>
      <w:lvlJc w:val="left"/>
      <w:pPr>
        <w:ind w:left="720" w:hanging="360"/>
      </w:pPr>
      <w:rPr>
        <w:rFonts w:ascii="Symbol" w:eastAsia="Calibr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4A9D355E"/>
    <w:multiLevelType w:val="hybridMultilevel"/>
    <w:tmpl w:val="1324BD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50E479C7"/>
    <w:multiLevelType w:val="hybridMultilevel"/>
    <w:tmpl w:val="481CD41E"/>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6" w15:restartNumberingAfterBreak="0">
    <w:nsid w:val="54481B34"/>
    <w:multiLevelType w:val="hybridMultilevel"/>
    <w:tmpl w:val="A4028D0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54C270D3"/>
    <w:multiLevelType w:val="hybridMultilevel"/>
    <w:tmpl w:val="336626CA"/>
    <w:lvl w:ilvl="0" w:tplc="04020001">
      <w:start w:val="1"/>
      <w:numFmt w:val="bullet"/>
      <w:lvlText w:val=""/>
      <w:lvlJc w:val="left"/>
      <w:pPr>
        <w:tabs>
          <w:tab w:val="num" w:pos="0"/>
        </w:tabs>
        <w:ind w:left="0" w:hanging="360"/>
      </w:pPr>
      <w:rPr>
        <w:rFonts w:ascii="Symbol" w:hAnsi="Symbol" w:hint="default"/>
      </w:rPr>
    </w:lvl>
    <w:lvl w:ilvl="1" w:tplc="53C419B0">
      <w:start w:val="1"/>
      <w:numFmt w:val="decimal"/>
      <w:lvlText w:val="%2."/>
      <w:lvlJc w:val="left"/>
      <w:pPr>
        <w:tabs>
          <w:tab w:val="num" w:pos="720"/>
        </w:tabs>
        <w:ind w:left="720" w:hanging="360"/>
      </w:pPr>
      <w:rPr>
        <w:rFonts w:ascii="Times New Roman" w:eastAsia="Times New Roman" w:hAnsi="Times New Roman" w:cs="Times New Roman"/>
      </w:rPr>
    </w:lvl>
    <w:lvl w:ilvl="2" w:tplc="0402001B">
      <w:start w:val="1"/>
      <w:numFmt w:val="lowerRoman"/>
      <w:lvlText w:val="%3."/>
      <w:lvlJc w:val="right"/>
      <w:pPr>
        <w:tabs>
          <w:tab w:val="num" w:pos="1440"/>
        </w:tabs>
        <w:ind w:left="1440" w:hanging="180"/>
      </w:pPr>
    </w:lvl>
    <w:lvl w:ilvl="3" w:tplc="0402000F" w:tentative="1">
      <w:start w:val="1"/>
      <w:numFmt w:val="decimal"/>
      <w:lvlText w:val="%4."/>
      <w:lvlJc w:val="left"/>
      <w:pPr>
        <w:tabs>
          <w:tab w:val="num" w:pos="2160"/>
        </w:tabs>
        <w:ind w:left="2160" w:hanging="360"/>
      </w:pPr>
    </w:lvl>
    <w:lvl w:ilvl="4" w:tplc="04020019" w:tentative="1">
      <w:start w:val="1"/>
      <w:numFmt w:val="lowerLetter"/>
      <w:lvlText w:val="%5."/>
      <w:lvlJc w:val="left"/>
      <w:pPr>
        <w:tabs>
          <w:tab w:val="num" w:pos="2880"/>
        </w:tabs>
        <w:ind w:left="2880" w:hanging="360"/>
      </w:pPr>
    </w:lvl>
    <w:lvl w:ilvl="5" w:tplc="0402001B" w:tentative="1">
      <w:start w:val="1"/>
      <w:numFmt w:val="lowerRoman"/>
      <w:lvlText w:val="%6."/>
      <w:lvlJc w:val="right"/>
      <w:pPr>
        <w:tabs>
          <w:tab w:val="num" w:pos="3600"/>
        </w:tabs>
        <w:ind w:left="3600" w:hanging="180"/>
      </w:pPr>
    </w:lvl>
    <w:lvl w:ilvl="6" w:tplc="0402000F" w:tentative="1">
      <w:start w:val="1"/>
      <w:numFmt w:val="decimal"/>
      <w:lvlText w:val="%7."/>
      <w:lvlJc w:val="left"/>
      <w:pPr>
        <w:tabs>
          <w:tab w:val="num" w:pos="4320"/>
        </w:tabs>
        <w:ind w:left="4320" w:hanging="360"/>
      </w:pPr>
    </w:lvl>
    <w:lvl w:ilvl="7" w:tplc="04020019" w:tentative="1">
      <w:start w:val="1"/>
      <w:numFmt w:val="lowerLetter"/>
      <w:lvlText w:val="%8."/>
      <w:lvlJc w:val="left"/>
      <w:pPr>
        <w:tabs>
          <w:tab w:val="num" w:pos="5040"/>
        </w:tabs>
        <w:ind w:left="5040" w:hanging="360"/>
      </w:pPr>
    </w:lvl>
    <w:lvl w:ilvl="8" w:tplc="0402001B" w:tentative="1">
      <w:start w:val="1"/>
      <w:numFmt w:val="lowerRoman"/>
      <w:lvlText w:val="%9."/>
      <w:lvlJc w:val="right"/>
      <w:pPr>
        <w:tabs>
          <w:tab w:val="num" w:pos="5760"/>
        </w:tabs>
        <w:ind w:left="5760" w:hanging="180"/>
      </w:pPr>
    </w:lvl>
  </w:abstractNum>
  <w:abstractNum w:abstractNumId="18" w15:restartNumberingAfterBreak="0">
    <w:nsid w:val="55EE4762"/>
    <w:multiLevelType w:val="multilevel"/>
    <w:tmpl w:val="A4D61D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AF819E3"/>
    <w:multiLevelType w:val="hybridMultilevel"/>
    <w:tmpl w:val="7E74920C"/>
    <w:lvl w:ilvl="0" w:tplc="6C8E1F5C">
      <w:start w:val="1"/>
      <w:numFmt w:val="bullet"/>
      <w:lvlText w:val="-"/>
      <w:lvlJc w:val="left"/>
      <w:pPr>
        <w:tabs>
          <w:tab w:val="num" w:pos="1440"/>
        </w:tabs>
        <w:ind w:left="1440" w:hanging="360"/>
      </w:pPr>
      <w:rPr>
        <w:rFonts w:ascii="Times New Roman" w:eastAsia="Times New Roman" w:hAnsi="Times New Roman" w:cs="Times New Roman" w:hint="default"/>
      </w:rPr>
    </w:lvl>
    <w:lvl w:ilvl="1" w:tplc="9BA2239C">
      <w:start w:val="1"/>
      <w:numFmt w:val="bullet"/>
      <w:lvlText w:val=""/>
      <w:lvlJc w:val="left"/>
      <w:pPr>
        <w:tabs>
          <w:tab w:val="num" w:pos="1440"/>
        </w:tabs>
        <w:ind w:left="1440" w:hanging="360"/>
      </w:pPr>
      <w:rPr>
        <w:rFonts w:ascii="Symbol" w:hAnsi="Symbol"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356D9B"/>
    <w:multiLevelType w:val="multilevel"/>
    <w:tmpl w:val="6DAE4990"/>
    <w:lvl w:ilvl="0">
      <w:start w:val="1"/>
      <w:numFmt w:val="upperRoman"/>
      <w:lvlText w:val="%1."/>
      <w:lvlJc w:val="left"/>
      <w:pPr>
        <w:ind w:left="720" w:hanging="72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21" w15:restartNumberingAfterBreak="0">
    <w:nsid w:val="616F3D8B"/>
    <w:multiLevelType w:val="hybridMultilevel"/>
    <w:tmpl w:val="5756127C"/>
    <w:lvl w:ilvl="0" w:tplc="0B9256B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6458481B"/>
    <w:multiLevelType w:val="hybridMultilevel"/>
    <w:tmpl w:val="5D1EA2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656516D5"/>
    <w:multiLevelType w:val="hybridMultilevel"/>
    <w:tmpl w:val="0F14F65A"/>
    <w:lvl w:ilvl="0" w:tplc="E104D6D4">
      <w:start w:val="4"/>
      <w:numFmt w:val="bullet"/>
      <w:lvlText w:val=""/>
      <w:lvlJc w:val="left"/>
      <w:pPr>
        <w:ind w:left="796" w:hanging="360"/>
      </w:pPr>
      <w:rPr>
        <w:rFonts w:ascii="Symbol" w:eastAsia="Times New Roman" w:hAnsi="Symbol" w:cs="Times New Roman" w:hint="default"/>
      </w:rPr>
    </w:lvl>
    <w:lvl w:ilvl="1" w:tplc="08090003" w:tentative="1">
      <w:start w:val="1"/>
      <w:numFmt w:val="bullet"/>
      <w:lvlText w:val="o"/>
      <w:lvlJc w:val="left"/>
      <w:pPr>
        <w:ind w:left="1516" w:hanging="360"/>
      </w:pPr>
      <w:rPr>
        <w:rFonts w:ascii="Courier New" w:hAnsi="Courier New" w:cs="Courier New" w:hint="default"/>
      </w:rPr>
    </w:lvl>
    <w:lvl w:ilvl="2" w:tplc="08090005" w:tentative="1">
      <w:start w:val="1"/>
      <w:numFmt w:val="bullet"/>
      <w:lvlText w:val=""/>
      <w:lvlJc w:val="left"/>
      <w:pPr>
        <w:ind w:left="2236" w:hanging="360"/>
      </w:pPr>
      <w:rPr>
        <w:rFonts w:ascii="Wingdings" w:hAnsi="Wingdings" w:hint="default"/>
      </w:rPr>
    </w:lvl>
    <w:lvl w:ilvl="3" w:tplc="08090001" w:tentative="1">
      <w:start w:val="1"/>
      <w:numFmt w:val="bullet"/>
      <w:lvlText w:val=""/>
      <w:lvlJc w:val="left"/>
      <w:pPr>
        <w:ind w:left="2956" w:hanging="360"/>
      </w:pPr>
      <w:rPr>
        <w:rFonts w:ascii="Symbol" w:hAnsi="Symbol" w:hint="default"/>
      </w:rPr>
    </w:lvl>
    <w:lvl w:ilvl="4" w:tplc="08090003" w:tentative="1">
      <w:start w:val="1"/>
      <w:numFmt w:val="bullet"/>
      <w:lvlText w:val="o"/>
      <w:lvlJc w:val="left"/>
      <w:pPr>
        <w:ind w:left="3676" w:hanging="360"/>
      </w:pPr>
      <w:rPr>
        <w:rFonts w:ascii="Courier New" w:hAnsi="Courier New" w:cs="Courier New" w:hint="default"/>
      </w:rPr>
    </w:lvl>
    <w:lvl w:ilvl="5" w:tplc="08090005" w:tentative="1">
      <w:start w:val="1"/>
      <w:numFmt w:val="bullet"/>
      <w:lvlText w:val=""/>
      <w:lvlJc w:val="left"/>
      <w:pPr>
        <w:ind w:left="4396" w:hanging="360"/>
      </w:pPr>
      <w:rPr>
        <w:rFonts w:ascii="Wingdings" w:hAnsi="Wingdings" w:hint="default"/>
      </w:rPr>
    </w:lvl>
    <w:lvl w:ilvl="6" w:tplc="08090001" w:tentative="1">
      <w:start w:val="1"/>
      <w:numFmt w:val="bullet"/>
      <w:lvlText w:val=""/>
      <w:lvlJc w:val="left"/>
      <w:pPr>
        <w:ind w:left="5116" w:hanging="360"/>
      </w:pPr>
      <w:rPr>
        <w:rFonts w:ascii="Symbol" w:hAnsi="Symbol" w:hint="default"/>
      </w:rPr>
    </w:lvl>
    <w:lvl w:ilvl="7" w:tplc="08090003" w:tentative="1">
      <w:start w:val="1"/>
      <w:numFmt w:val="bullet"/>
      <w:lvlText w:val="o"/>
      <w:lvlJc w:val="left"/>
      <w:pPr>
        <w:ind w:left="5836" w:hanging="360"/>
      </w:pPr>
      <w:rPr>
        <w:rFonts w:ascii="Courier New" w:hAnsi="Courier New" w:cs="Courier New" w:hint="default"/>
      </w:rPr>
    </w:lvl>
    <w:lvl w:ilvl="8" w:tplc="08090005" w:tentative="1">
      <w:start w:val="1"/>
      <w:numFmt w:val="bullet"/>
      <w:lvlText w:val=""/>
      <w:lvlJc w:val="left"/>
      <w:pPr>
        <w:ind w:left="6556" w:hanging="360"/>
      </w:pPr>
      <w:rPr>
        <w:rFonts w:ascii="Wingdings" w:hAnsi="Wingdings" w:hint="default"/>
      </w:rPr>
    </w:lvl>
  </w:abstractNum>
  <w:abstractNum w:abstractNumId="24" w15:restartNumberingAfterBreak="0">
    <w:nsid w:val="66D41893"/>
    <w:multiLevelType w:val="hybridMultilevel"/>
    <w:tmpl w:val="83280D76"/>
    <w:lvl w:ilvl="0" w:tplc="6C8E1F5C">
      <w:start w:val="1"/>
      <w:numFmt w:val="bullet"/>
      <w:lvlText w:val="-"/>
      <w:lvlJc w:val="left"/>
      <w:pPr>
        <w:tabs>
          <w:tab w:val="num" w:pos="1440"/>
        </w:tabs>
        <w:ind w:left="144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775331"/>
    <w:multiLevelType w:val="multilevel"/>
    <w:tmpl w:val="8E26BB50"/>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0CD3160"/>
    <w:multiLevelType w:val="multilevel"/>
    <w:tmpl w:val="77AEC142"/>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275" w:hanging="55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76E75217"/>
    <w:multiLevelType w:val="hybridMultilevel"/>
    <w:tmpl w:val="0616D370"/>
    <w:lvl w:ilvl="0" w:tplc="ADE474D6">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7A8F0BF3"/>
    <w:multiLevelType w:val="hybridMultilevel"/>
    <w:tmpl w:val="363CEFDA"/>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9" w15:restartNumberingAfterBreak="0">
    <w:nsid w:val="7E125E8C"/>
    <w:multiLevelType w:val="hybridMultilevel"/>
    <w:tmpl w:val="31166F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834C72"/>
    <w:multiLevelType w:val="hybridMultilevel"/>
    <w:tmpl w:val="07720EAC"/>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31" w15:restartNumberingAfterBreak="0">
    <w:nsid w:val="7FC45927"/>
    <w:multiLevelType w:val="hybridMultilevel"/>
    <w:tmpl w:val="CB9A5EF8"/>
    <w:lvl w:ilvl="0" w:tplc="8A4891E8">
      <w:start w:val="1"/>
      <w:numFmt w:val="bullet"/>
      <w:lvlText w:val="-"/>
      <w:lvlJc w:val="left"/>
      <w:pPr>
        <w:ind w:left="720" w:hanging="360"/>
      </w:pPr>
      <w:rPr>
        <w:rFonts w:ascii="EYInterstate Light" w:eastAsia="Times New Roman" w:hAnsi="EYInterstate Light"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num w:numId="1">
    <w:abstractNumId w:val="20"/>
  </w:num>
  <w:num w:numId="2">
    <w:abstractNumId w:val="3"/>
  </w:num>
  <w:num w:numId="3">
    <w:abstractNumId w:val="5"/>
  </w:num>
  <w:num w:numId="4">
    <w:abstractNumId w:val="13"/>
  </w:num>
  <w:num w:numId="5">
    <w:abstractNumId w:val="9"/>
  </w:num>
  <w:num w:numId="6">
    <w:abstractNumId w:val="18"/>
  </w:num>
  <w:num w:numId="7">
    <w:abstractNumId w:val="22"/>
  </w:num>
  <w:num w:numId="8">
    <w:abstractNumId w:val="17"/>
  </w:num>
  <w:num w:numId="9">
    <w:abstractNumId w:val="8"/>
  </w:num>
  <w:num w:numId="10">
    <w:abstractNumId w:val="1"/>
  </w:num>
  <w:num w:numId="11">
    <w:abstractNumId w:val="10"/>
  </w:num>
  <w:num w:numId="12">
    <w:abstractNumId w:val="6"/>
  </w:num>
  <w:num w:numId="13">
    <w:abstractNumId w:val="26"/>
  </w:num>
  <w:num w:numId="14">
    <w:abstractNumId w:val="7"/>
  </w:num>
  <w:num w:numId="15">
    <w:abstractNumId w:val="29"/>
  </w:num>
  <w:num w:numId="16">
    <w:abstractNumId w:val="25"/>
  </w:num>
  <w:num w:numId="17">
    <w:abstractNumId w:val="16"/>
  </w:num>
  <w:num w:numId="18">
    <w:abstractNumId w:val="23"/>
  </w:num>
  <w:num w:numId="19">
    <w:abstractNumId w:val="28"/>
  </w:num>
  <w:num w:numId="20">
    <w:abstractNumId w:val="15"/>
  </w:num>
  <w:num w:numId="21">
    <w:abstractNumId w:val="30"/>
  </w:num>
  <w:num w:numId="22">
    <w:abstractNumId w:val="31"/>
  </w:num>
  <w:num w:numId="23">
    <w:abstractNumId w:val="2"/>
  </w:num>
  <w:num w:numId="24">
    <w:abstractNumId w:val="24"/>
  </w:num>
  <w:num w:numId="25">
    <w:abstractNumId w:val="19"/>
  </w:num>
  <w:num w:numId="26">
    <w:abstractNumId w:val="0"/>
  </w:num>
  <w:num w:numId="27">
    <w:abstractNumId w:val="4"/>
  </w:num>
  <w:num w:numId="28">
    <w:abstractNumId w:val="12"/>
  </w:num>
  <w:num w:numId="29">
    <w:abstractNumId w:val="21"/>
  </w:num>
  <w:num w:numId="30">
    <w:abstractNumId w:val="11"/>
  </w:num>
  <w:num w:numId="31">
    <w:abstractNumId w:val="14"/>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0EB"/>
    <w:rsid w:val="00002905"/>
    <w:rsid w:val="00003606"/>
    <w:rsid w:val="00004898"/>
    <w:rsid w:val="000145E7"/>
    <w:rsid w:val="00014A33"/>
    <w:rsid w:val="00014DD2"/>
    <w:rsid w:val="00021ABC"/>
    <w:rsid w:val="000220ED"/>
    <w:rsid w:val="0002372A"/>
    <w:rsid w:val="00030812"/>
    <w:rsid w:val="00031C79"/>
    <w:rsid w:val="00032C70"/>
    <w:rsid w:val="000339CB"/>
    <w:rsid w:val="00035926"/>
    <w:rsid w:val="00041307"/>
    <w:rsid w:val="000447AD"/>
    <w:rsid w:val="00044807"/>
    <w:rsid w:val="00044ECE"/>
    <w:rsid w:val="00045B59"/>
    <w:rsid w:val="000473FF"/>
    <w:rsid w:val="00053B27"/>
    <w:rsid w:val="0005667E"/>
    <w:rsid w:val="00056B12"/>
    <w:rsid w:val="00060295"/>
    <w:rsid w:val="0006049A"/>
    <w:rsid w:val="00061007"/>
    <w:rsid w:val="00062746"/>
    <w:rsid w:val="00062AEF"/>
    <w:rsid w:val="0006500E"/>
    <w:rsid w:val="00071CB7"/>
    <w:rsid w:val="00076741"/>
    <w:rsid w:val="00084410"/>
    <w:rsid w:val="00091684"/>
    <w:rsid w:val="00095DFB"/>
    <w:rsid w:val="00096367"/>
    <w:rsid w:val="000A16C8"/>
    <w:rsid w:val="000B1073"/>
    <w:rsid w:val="000B4DE1"/>
    <w:rsid w:val="000B7326"/>
    <w:rsid w:val="000C1B34"/>
    <w:rsid w:val="000C336E"/>
    <w:rsid w:val="000C4031"/>
    <w:rsid w:val="000C5077"/>
    <w:rsid w:val="000D1389"/>
    <w:rsid w:val="000D1685"/>
    <w:rsid w:val="000D492E"/>
    <w:rsid w:val="000D75B8"/>
    <w:rsid w:val="000D781A"/>
    <w:rsid w:val="000E2BCF"/>
    <w:rsid w:val="000E3181"/>
    <w:rsid w:val="000E3418"/>
    <w:rsid w:val="000F36FF"/>
    <w:rsid w:val="000F5B7E"/>
    <w:rsid w:val="00101885"/>
    <w:rsid w:val="00107467"/>
    <w:rsid w:val="00117E9E"/>
    <w:rsid w:val="00117FFE"/>
    <w:rsid w:val="0013018C"/>
    <w:rsid w:val="001308D5"/>
    <w:rsid w:val="001365A2"/>
    <w:rsid w:val="0014709A"/>
    <w:rsid w:val="001513A6"/>
    <w:rsid w:val="00154565"/>
    <w:rsid w:val="00160575"/>
    <w:rsid w:val="00171DCF"/>
    <w:rsid w:val="001735D0"/>
    <w:rsid w:val="00175589"/>
    <w:rsid w:val="0017695E"/>
    <w:rsid w:val="00177447"/>
    <w:rsid w:val="001804AF"/>
    <w:rsid w:val="0018379A"/>
    <w:rsid w:val="001861FF"/>
    <w:rsid w:val="00187C85"/>
    <w:rsid w:val="00191FDD"/>
    <w:rsid w:val="00193A4A"/>
    <w:rsid w:val="00194AFC"/>
    <w:rsid w:val="001964AF"/>
    <w:rsid w:val="001971F4"/>
    <w:rsid w:val="001A4D6B"/>
    <w:rsid w:val="001A5262"/>
    <w:rsid w:val="001D0C6D"/>
    <w:rsid w:val="001D49C1"/>
    <w:rsid w:val="001D4ECC"/>
    <w:rsid w:val="001E2F24"/>
    <w:rsid w:val="001E3293"/>
    <w:rsid w:val="001E36A9"/>
    <w:rsid w:val="001E78DE"/>
    <w:rsid w:val="001F0EE9"/>
    <w:rsid w:val="001F2B7D"/>
    <w:rsid w:val="001F3BEE"/>
    <w:rsid w:val="001F7D66"/>
    <w:rsid w:val="0020175D"/>
    <w:rsid w:val="002039E1"/>
    <w:rsid w:val="00205C34"/>
    <w:rsid w:val="00211102"/>
    <w:rsid w:val="00213260"/>
    <w:rsid w:val="0021492E"/>
    <w:rsid w:val="00215606"/>
    <w:rsid w:val="00215740"/>
    <w:rsid w:val="002216CC"/>
    <w:rsid w:val="002277B6"/>
    <w:rsid w:val="0023124B"/>
    <w:rsid w:val="0023215E"/>
    <w:rsid w:val="00232953"/>
    <w:rsid w:val="002369C4"/>
    <w:rsid w:val="00236C9F"/>
    <w:rsid w:val="002375DD"/>
    <w:rsid w:val="00241DFE"/>
    <w:rsid w:val="002423C6"/>
    <w:rsid w:val="00243A05"/>
    <w:rsid w:val="00243C4C"/>
    <w:rsid w:val="00245A0C"/>
    <w:rsid w:val="00257C90"/>
    <w:rsid w:val="00262A52"/>
    <w:rsid w:val="002635DA"/>
    <w:rsid w:val="0026450E"/>
    <w:rsid w:val="00280F01"/>
    <w:rsid w:val="00286DC0"/>
    <w:rsid w:val="0028766F"/>
    <w:rsid w:val="00290DC4"/>
    <w:rsid w:val="00291D6B"/>
    <w:rsid w:val="0029208D"/>
    <w:rsid w:val="00292EED"/>
    <w:rsid w:val="002932EC"/>
    <w:rsid w:val="00294354"/>
    <w:rsid w:val="00295408"/>
    <w:rsid w:val="002A06AC"/>
    <w:rsid w:val="002B2135"/>
    <w:rsid w:val="002B2CA6"/>
    <w:rsid w:val="002B64A8"/>
    <w:rsid w:val="002B677B"/>
    <w:rsid w:val="002C149C"/>
    <w:rsid w:val="002C30BF"/>
    <w:rsid w:val="002C415C"/>
    <w:rsid w:val="002D6CB9"/>
    <w:rsid w:val="002E4B29"/>
    <w:rsid w:val="002F1187"/>
    <w:rsid w:val="002F3A85"/>
    <w:rsid w:val="002F4727"/>
    <w:rsid w:val="002F5BC4"/>
    <w:rsid w:val="0030137A"/>
    <w:rsid w:val="00303F96"/>
    <w:rsid w:val="00311CE8"/>
    <w:rsid w:val="0031208D"/>
    <w:rsid w:val="003135D3"/>
    <w:rsid w:val="00315541"/>
    <w:rsid w:val="00323764"/>
    <w:rsid w:val="00325FD2"/>
    <w:rsid w:val="00327D4C"/>
    <w:rsid w:val="003360F1"/>
    <w:rsid w:val="00341063"/>
    <w:rsid w:val="00343928"/>
    <w:rsid w:val="00343E55"/>
    <w:rsid w:val="00345B55"/>
    <w:rsid w:val="00347C64"/>
    <w:rsid w:val="00350D96"/>
    <w:rsid w:val="00361778"/>
    <w:rsid w:val="00362960"/>
    <w:rsid w:val="003649E4"/>
    <w:rsid w:val="003666AD"/>
    <w:rsid w:val="00370CEB"/>
    <w:rsid w:val="00380381"/>
    <w:rsid w:val="0038042A"/>
    <w:rsid w:val="003813D2"/>
    <w:rsid w:val="00382742"/>
    <w:rsid w:val="00385E74"/>
    <w:rsid w:val="00393B41"/>
    <w:rsid w:val="00393BED"/>
    <w:rsid w:val="003A56CC"/>
    <w:rsid w:val="003A6E54"/>
    <w:rsid w:val="003B057C"/>
    <w:rsid w:val="003B14A6"/>
    <w:rsid w:val="003B35DD"/>
    <w:rsid w:val="003B4144"/>
    <w:rsid w:val="003B5E5A"/>
    <w:rsid w:val="003C633A"/>
    <w:rsid w:val="003C6A98"/>
    <w:rsid w:val="003D1420"/>
    <w:rsid w:val="003D31FE"/>
    <w:rsid w:val="003D3BF2"/>
    <w:rsid w:val="003D51C0"/>
    <w:rsid w:val="003E5069"/>
    <w:rsid w:val="003E7060"/>
    <w:rsid w:val="003F5611"/>
    <w:rsid w:val="00402FF8"/>
    <w:rsid w:val="00406472"/>
    <w:rsid w:val="00413B66"/>
    <w:rsid w:val="00416163"/>
    <w:rsid w:val="00417ACD"/>
    <w:rsid w:val="0042046D"/>
    <w:rsid w:val="00425744"/>
    <w:rsid w:val="00430808"/>
    <w:rsid w:val="004339FD"/>
    <w:rsid w:val="004356D9"/>
    <w:rsid w:val="0044063A"/>
    <w:rsid w:val="00441350"/>
    <w:rsid w:val="00442ED7"/>
    <w:rsid w:val="00444801"/>
    <w:rsid w:val="00446C29"/>
    <w:rsid w:val="004521F2"/>
    <w:rsid w:val="00455352"/>
    <w:rsid w:val="00462FF5"/>
    <w:rsid w:val="004711B4"/>
    <w:rsid w:val="004712C3"/>
    <w:rsid w:val="004740E4"/>
    <w:rsid w:val="0047547E"/>
    <w:rsid w:val="00475A07"/>
    <w:rsid w:val="00482DEE"/>
    <w:rsid w:val="00485564"/>
    <w:rsid w:val="004914F9"/>
    <w:rsid w:val="0049171F"/>
    <w:rsid w:val="00493CBA"/>
    <w:rsid w:val="0049523A"/>
    <w:rsid w:val="00496DB0"/>
    <w:rsid w:val="004A152C"/>
    <w:rsid w:val="004A4AD1"/>
    <w:rsid w:val="004A7ABE"/>
    <w:rsid w:val="004B1A32"/>
    <w:rsid w:val="004B2C9F"/>
    <w:rsid w:val="004B3217"/>
    <w:rsid w:val="004B3859"/>
    <w:rsid w:val="004B4750"/>
    <w:rsid w:val="004C31D3"/>
    <w:rsid w:val="004D069E"/>
    <w:rsid w:val="004D3178"/>
    <w:rsid w:val="004D7150"/>
    <w:rsid w:val="004E0144"/>
    <w:rsid w:val="004E57FD"/>
    <w:rsid w:val="004F060A"/>
    <w:rsid w:val="004F2315"/>
    <w:rsid w:val="004F4233"/>
    <w:rsid w:val="00502A69"/>
    <w:rsid w:val="00505696"/>
    <w:rsid w:val="005066BD"/>
    <w:rsid w:val="00510800"/>
    <w:rsid w:val="00513B0C"/>
    <w:rsid w:val="0051658F"/>
    <w:rsid w:val="005177AD"/>
    <w:rsid w:val="00520AA2"/>
    <w:rsid w:val="00521892"/>
    <w:rsid w:val="0052294B"/>
    <w:rsid w:val="00532698"/>
    <w:rsid w:val="00540F3A"/>
    <w:rsid w:val="005438F9"/>
    <w:rsid w:val="00547420"/>
    <w:rsid w:val="00552AB7"/>
    <w:rsid w:val="00557112"/>
    <w:rsid w:val="00557928"/>
    <w:rsid w:val="00561701"/>
    <w:rsid w:val="005617D8"/>
    <w:rsid w:val="0056192A"/>
    <w:rsid w:val="005619E3"/>
    <w:rsid w:val="0056238F"/>
    <w:rsid w:val="005623EA"/>
    <w:rsid w:val="00562E74"/>
    <w:rsid w:val="0056483F"/>
    <w:rsid w:val="00570841"/>
    <w:rsid w:val="0057380B"/>
    <w:rsid w:val="00574D2E"/>
    <w:rsid w:val="00574D8D"/>
    <w:rsid w:val="00576BA3"/>
    <w:rsid w:val="0058062D"/>
    <w:rsid w:val="005850D3"/>
    <w:rsid w:val="00587D61"/>
    <w:rsid w:val="005905DA"/>
    <w:rsid w:val="00592068"/>
    <w:rsid w:val="00593019"/>
    <w:rsid w:val="00594F94"/>
    <w:rsid w:val="005A2A63"/>
    <w:rsid w:val="005B17C6"/>
    <w:rsid w:val="005B1FDA"/>
    <w:rsid w:val="005B517B"/>
    <w:rsid w:val="005B5BC0"/>
    <w:rsid w:val="005B7C73"/>
    <w:rsid w:val="005C0916"/>
    <w:rsid w:val="005C34B7"/>
    <w:rsid w:val="005C3936"/>
    <w:rsid w:val="005D2392"/>
    <w:rsid w:val="005D75C5"/>
    <w:rsid w:val="005E004E"/>
    <w:rsid w:val="005E11E5"/>
    <w:rsid w:val="005E3819"/>
    <w:rsid w:val="005E518B"/>
    <w:rsid w:val="005E5544"/>
    <w:rsid w:val="005F0563"/>
    <w:rsid w:val="00600001"/>
    <w:rsid w:val="00600258"/>
    <w:rsid w:val="00600AC9"/>
    <w:rsid w:val="0060718E"/>
    <w:rsid w:val="00610D9D"/>
    <w:rsid w:val="006143C6"/>
    <w:rsid w:val="006161EF"/>
    <w:rsid w:val="00620023"/>
    <w:rsid w:val="00623CC7"/>
    <w:rsid w:val="006249F3"/>
    <w:rsid w:val="00634ACD"/>
    <w:rsid w:val="00641066"/>
    <w:rsid w:val="00643631"/>
    <w:rsid w:val="0065486F"/>
    <w:rsid w:val="00657F99"/>
    <w:rsid w:val="0066193B"/>
    <w:rsid w:val="00666686"/>
    <w:rsid w:val="00670CB4"/>
    <w:rsid w:val="00673B7B"/>
    <w:rsid w:val="006752FD"/>
    <w:rsid w:val="006906BA"/>
    <w:rsid w:val="00692FDE"/>
    <w:rsid w:val="00694B69"/>
    <w:rsid w:val="00695285"/>
    <w:rsid w:val="0069714B"/>
    <w:rsid w:val="006A4931"/>
    <w:rsid w:val="006A6522"/>
    <w:rsid w:val="006B0F18"/>
    <w:rsid w:val="006B1184"/>
    <w:rsid w:val="006B2DC4"/>
    <w:rsid w:val="006B5E03"/>
    <w:rsid w:val="006C1750"/>
    <w:rsid w:val="006C2565"/>
    <w:rsid w:val="006D158C"/>
    <w:rsid w:val="006D353C"/>
    <w:rsid w:val="006D55D3"/>
    <w:rsid w:val="006D7C7F"/>
    <w:rsid w:val="006E0D0A"/>
    <w:rsid w:val="006E0EFE"/>
    <w:rsid w:val="006E19B2"/>
    <w:rsid w:val="006F1F02"/>
    <w:rsid w:val="006F47B3"/>
    <w:rsid w:val="00704A62"/>
    <w:rsid w:val="00707B1F"/>
    <w:rsid w:val="00711CD3"/>
    <w:rsid w:val="00712AD1"/>
    <w:rsid w:val="00713549"/>
    <w:rsid w:val="0072118F"/>
    <w:rsid w:val="0072300B"/>
    <w:rsid w:val="00724E64"/>
    <w:rsid w:val="00730C57"/>
    <w:rsid w:val="00733091"/>
    <w:rsid w:val="00733C66"/>
    <w:rsid w:val="0074017A"/>
    <w:rsid w:val="00745AB4"/>
    <w:rsid w:val="0075461A"/>
    <w:rsid w:val="007547B0"/>
    <w:rsid w:val="00760DC5"/>
    <w:rsid w:val="00765B50"/>
    <w:rsid w:val="00770148"/>
    <w:rsid w:val="00771B59"/>
    <w:rsid w:val="00781F0C"/>
    <w:rsid w:val="00790B4E"/>
    <w:rsid w:val="0079117B"/>
    <w:rsid w:val="007962E3"/>
    <w:rsid w:val="007A2C20"/>
    <w:rsid w:val="007B67B1"/>
    <w:rsid w:val="007B7D7C"/>
    <w:rsid w:val="007C637D"/>
    <w:rsid w:val="007D246F"/>
    <w:rsid w:val="007D3E34"/>
    <w:rsid w:val="007D7D01"/>
    <w:rsid w:val="00800C45"/>
    <w:rsid w:val="00800E26"/>
    <w:rsid w:val="00803A90"/>
    <w:rsid w:val="00806047"/>
    <w:rsid w:val="008103D0"/>
    <w:rsid w:val="008116F0"/>
    <w:rsid w:val="0081421B"/>
    <w:rsid w:val="0081625C"/>
    <w:rsid w:val="00817936"/>
    <w:rsid w:val="008203C1"/>
    <w:rsid w:val="0082117C"/>
    <w:rsid w:val="00822A5F"/>
    <w:rsid w:val="00822EB1"/>
    <w:rsid w:val="008239C0"/>
    <w:rsid w:val="00830DEF"/>
    <w:rsid w:val="00831EBE"/>
    <w:rsid w:val="008341B8"/>
    <w:rsid w:val="00834620"/>
    <w:rsid w:val="00835C1B"/>
    <w:rsid w:val="0084275F"/>
    <w:rsid w:val="008429D0"/>
    <w:rsid w:val="00843812"/>
    <w:rsid w:val="008454D0"/>
    <w:rsid w:val="00847104"/>
    <w:rsid w:val="0085655B"/>
    <w:rsid w:val="0086466D"/>
    <w:rsid w:val="008649A5"/>
    <w:rsid w:val="00865CD8"/>
    <w:rsid w:val="00866DFE"/>
    <w:rsid w:val="008675C7"/>
    <w:rsid w:val="0087114D"/>
    <w:rsid w:val="008714A2"/>
    <w:rsid w:val="00874A2C"/>
    <w:rsid w:val="00874E3C"/>
    <w:rsid w:val="008772D6"/>
    <w:rsid w:val="008824B9"/>
    <w:rsid w:val="00887176"/>
    <w:rsid w:val="0089600F"/>
    <w:rsid w:val="00896D58"/>
    <w:rsid w:val="008976A6"/>
    <w:rsid w:val="008A3069"/>
    <w:rsid w:val="008A72EE"/>
    <w:rsid w:val="008B25F8"/>
    <w:rsid w:val="008B3BDA"/>
    <w:rsid w:val="008B48D6"/>
    <w:rsid w:val="008C0B0F"/>
    <w:rsid w:val="008C4E67"/>
    <w:rsid w:val="008D0AF7"/>
    <w:rsid w:val="008D2BD8"/>
    <w:rsid w:val="008F2E7C"/>
    <w:rsid w:val="008F754F"/>
    <w:rsid w:val="00902834"/>
    <w:rsid w:val="00902B1D"/>
    <w:rsid w:val="0090300F"/>
    <w:rsid w:val="009038AA"/>
    <w:rsid w:val="00904002"/>
    <w:rsid w:val="00905CC8"/>
    <w:rsid w:val="0091284A"/>
    <w:rsid w:val="0091371D"/>
    <w:rsid w:val="00922726"/>
    <w:rsid w:val="009333C6"/>
    <w:rsid w:val="00942540"/>
    <w:rsid w:val="009445FB"/>
    <w:rsid w:val="009461F9"/>
    <w:rsid w:val="00952723"/>
    <w:rsid w:val="00952852"/>
    <w:rsid w:val="00952C6F"/>
    <w:rsid w:val="00952CF5"/>
    <w:rsid w:val="0096458A"/>
    <w:rsid w:val="00965F8C"/>
    <w:rsid w:val="00976A0A"/>
    <w:rsid w:val="009841AF"/>
    <w:rsid w:val="00984854"/>
    <w:rsid w:val="009851C6"/>
    <w:rsid w:val="00985278"/>
    <w:rsid w:val="00993013"/>
    <w:rsid w:val="00993F4C"/>
    <w:rsid w:val="009954DB"/>
    <w:rsid w:val="009A1F90"/>
    <w:rsid w:val="009A2A1D"/>
    <w:rsid w:val="009A4E7A"/>
    <w:rsid w:val="009B00EB"/>
    <w:rsid w:val="009B1E41"/>
    <w:rsid w:val="009B4F5C"/>
    <w:rsid w:val="009B5A5E"/>
    <w:rsid w:val="009D192B"/>
    <w:rsid w:val="009D2603"/>
    <w:rsid w:val="009E7061"/>
    <w:rsid w:val="009F0310"/>
    <w:rsid w:val="009F0647"/>
    <w:rsid w:val="009F06F4"/>
    <w:rsid w:val="009F1C0A"/>
    <w:rsid w:val="00A0238F"/>
    <w:rsid w:val="00A15DE9"/>
    <w:rsid w:val="00A204AB"/>
    <w:rsid w:val="00A22737"/>
    <w:rsid w:val="00A24069"/>
    <w:rsid w:val="00A31015"/>
    <w:rsid w:val="00A328EA"/>
    <w:rsid w:val="00A32B9A"/>
    <w:rsid w:val="00A330A1"/>
    <w:rsid w:val="00A36DA4"/>
    <w:rsid w:val="00A44CBA"/>
    <w:rsid w:val="00A47B75"/>
    <w:rsid w:val="00A5250A"/>
    <w:rsid w:val="00A56E03"/>
    <w:rsid w:val="00A6125F"/>
    <w:rsid w:val="00A625D1"/>
    <w:rsid w:val="00A64A9C"/>
    <w:rsid w:val="00A67F00"/>
    <w:rsid w:val="00A72BD0"/>
    <w:rsid w:val="00A73F4F"/>
    <w:rsid w:val="00A7473D"/>
    <w:rsid w:val="00A816D0"/>
    <w:rsid w:val="00A8412F"/>
    <w:rsid w:val="00A86DCC"/>
    <w:rsid w:val="00A90656"/>
    <w:rsid w:val="00A90761"/>
    <w:rsid w:val="00A96028"/>
    <w:rsid w:val="00A967C4"/>
    <w:rsid w:val="00AA241B"/>
    <w:rsid w:val="00AA263B"/>
    <w:rsid w:val="00AA6AA4"/>
    <w:rsid w:val="00AA7D6E"/>
    <w:rsid w:val="00AB4C5A"/>
    <w:rsid w:val="00AB5E7C"/>
    <w:rsid w:val="00AC0B6C"/>
    <w:rsid w:val="00AC2130"/>
    <w:rsid w:val="00AD0A18"/>
    <w:rsid w:val="00AD1C46"/>
    <w:rsid w:val="00AE19B4"/>
    <w:rsid w:val="00AE3FEE"/>
    <w:rsid w:val="00AE63EC"/>
    <w:rsid w:val="00AF2777"/>
    <w:rsid w:val="00B01FD2"/>
    <w:rsid w:val="00B03B45"/>
    <w:rsid w:val="00B055B0"/>
    <w:rsid w:val="00B059D5"/>
    <w:rsid w:val="00B10194"/>
    <w:rsid w:val="00B133BF"/>
    <w:rsid w:val="00B155D8"/>
    <w:rsid w:val="00B165E7"/>
    <w:rsid w:val="00B20DD9"/>
    <w:rsid w:val="00B220FD"/>
    <w:rsid w:val="00B23C94"/>
    <w:rsid w:val="00B252A5"/>
    <w:rsid w:val="00B26AC1"/>
    <w:rsid w:val="00B271A9"/>
    <w:rsid w:val="00B32572"/>
    <w:rsid w:val="00B350FA"/>
    <w:rsid w:val="00B35157"/>
    <w:rsid w:val="00B402EB"/>
    <w:rsid w:val="00B40974"/>
    <w:rsid w:val="00B40E74"/>
    <w:rsid w:val="00B5127C"/>
    <w:rsid w:val="00B51E6A"/>
    <w:rsid w:val="00B5447C"/>
    <w:rsid w:val="00B545C5"/>
    <w:rsid w:val="00B573EC"/>
    <w:rsid w:val="00B57AFB"/>
    <w:rsid w:val="00B605B9"/>
    <w:rsid w:val="00B60830"/>
    <w:rsid w:val="00B6448A"/>
    <w:rsid w:val="00B66FA3"/>
    <w:rsid w:val="00B67AB9"/>
    <w:rsid w:val="00B74EA6"/>
    <w:rsid w:val="00B87B32"/>
    <w:rsid w:val="00B87F6C"/>
    <w:rsid w:val="00B90023"/>
    <w:rsid w:val="00B919F6"/>
    <w:rsid w:val="00B93D4E"/>
    <w:rsid w:val="00B9489F"/>
    <w:rsid w:val="00B96F56"/>
    <w:rsid w:val="00BA6E63"/>
    <w:rsid w:val="00BB652F"/>
    <w:rsid w:val="00BC35EB"/>
    <w:rsid w:val="00BC483A"/>
    <w:rsid w:val="00BC484B"/>
    <w:rsid w:val="00BD1C51"/>
    <w:rsid w:val="00BD6DD2"/>
    <w:rsid w:val="00BE5102"/>
    <w:rsid w:val="00BF5739"/>
    <w:rsid w:val="00BF5E9A"/>
    <w:rsid w:val="00BF6AF3"/>
    <w:rsid w:val="00BF6B13"/>
    <w:rsid w:val="00C06031"/>
    <w:rsid w:val="00C127EF"/>
    <w:rsid w:val="00C33CCC"/>
    <w:rsid w:val="00C36AAC"/>
    <w:rsid w:val="00C44DAD"/>
    <w:rsid w:val="00C564F2"/>
    <w:rsid w:val="00C661D1"/>
    <w:rsid w:val="00C7115F"/>
    <w:rsid w:val="00C720A9"/>
    <w:rsid w:val="00C808FE"/>
    <w:rsid w:val="00C83ADE"/>
    <w:rsid w:val="00C853EB"/>
    <w:rsid w:val="00C87B97"/>
    <w:rsid w:val="00C95268"/>
    <w:rsid w:val="00C9572E"/>
    <w:rsid w:val="00CA022C"/>
    <w:rsid w:val="00CA26FF"/>
    <w:rsid w:val="00CA2EC8"/>
    <w:rsid w:val="00CA7819"/>
    <w:rsid w:val="00CB28E7"/>
    <w:rsid w:val="00CB71E8"/>
    <w:rsid w:val="00CC03CF"/>
    <w:rsid w:val="00CC0550"/>
    <w:rsid w:val="00CC4BA0"/>
    <w:rsid w:val="00CD02C9"/>
    <w:rsid w:val="00CD0646"/>
    <w:rsid w:val="00CD0F54"/>
    <w:rsid w:val="00CD2195"/>
    <w:rsid w:val="00CD6025"/>
    <w:rsid w:val="00CE0278"/>
    <w:rsid w:val="00CE0495"/>
    <w:rsid w:val="00CE2125"/>
    <w:rsid w:val="00CE76A6"/>
    <w:rsid w:val="00CF63EF"/>
    <w:rsid w:val="00CF7E24"/>
    <w:rsid w:val="00D01DC2"/>
    <w:rsid w:val="00D062EC"/>
    <w:rsid w:val="00D06919"/>
    <w:rsid w:val="00D06D6C"/>
    <w:rsid w:val="00D10564"/>
    <w:rsid w:val="00D11EBD"/>
    <w:rsid w:val="00D12E26"/>
    <w:rsid w:val="00D154B3"/>
    <w:rsid w:val="00D1678F"/>
    <w:rsid w:val="00D171BC"/>
    <w:rsid w:val="00D17CB4"/>
    <w:rsid w:val="00D20C05"/>
    <w:rsid w:val="00D20C65"/>
    <w:rsid w:val="00D237CC"/>
    <w:rsid w:val="00D2771C"/>
    <w:rsid w:val="00D27B37"/>
    <w:rsid w:val="00D30016"/>
    <w:rsid w:val="00D308DB"/>
    <w:rsid w:val="00D33B6B"/>
    <w:rsid w:val="00D340EC"/>
    <w:rsid w:val="00D371EF"/>
    <w:rsid w:val="00D44A7C"/>
    <w:rsid w:val="00D46461"/>
    <w:rsid w:val="00D53243"/>
    <w:rsid w:val="00D54EF8"/>
    <w:rsid w:val="00D5534B"/>
    <w:rsid w:val="00D5636D"/>
    <w:rsid w:val="00D615A6"/>
    <w:rsid w:val="00D61F30"/>
    <w:rsid w:val="00D639CB"/>
    <w:rsid w:val="00D63C7C"/>
    <w:rsid w:val="00D645D5"/>
    <w:rsid w:val="00D64614"/>
    <w:rsid w:val="00D67CC7"/>
    <w:rsid w:val="00D71840"/>
    <w:rsid w:val="00D73756"/>
    <w:rsid w:val="00D86FD8"/>
    <w:rsid w:val="00D94686"/>
    <w:rsid w:val="00D954EC"/>
    <w:rsid w:val="00DA28D4"/>
    <w:rsid w:val="00DB048A"/>
    <w:rsid w:val="00DB7E5B"/>
    <w:rsid w:val="00DC52DC"/>
    <w:rsid w:val="00DC5311"/>
    <w:rsid w:val="00DE2B15"/>
    <w:rsid w:val="00DE3B81"/>
    <w:rsid w:val="00DE5D2B"/>
    <w:rsid w:val="00DE6AD9"/>
    <w:rsid w:val="00DF661A"/>
    <w:rsid w:val="00DF73D7"/>
    <w:rsid w:val="00E000A5"/>
    <w:rsid w:val="00E04EBD"/>
    <w:rsid w:val="00E07683"/>
    <w:rsid w:val="00E11684"/>
    <w:rsid w:val="00E170FD"/>
    <w:rsid w:val="00E1718B"/>
    <w:rsid w:val="00E20711"/>
    <w:rsid w:val="00E2213C"/>
    <w:rsid w:val="00E25AC6"/>
    <w:rsid w:val="00E30AC6"/>
    <w:rsid w:val="00E322E8"/>
    <w:rsid w:val="00E40998"/>
    <w:rsid w:val="00E41EF9"/>
    <w:rsid w:val="00E44F5D"/>
    <w:rsid w:val="00E5131D"/>
    <w:rsid w:val="00E552AD"/>
    <w:rsid w:val="00E55368"/>
    <w:rsid w:val="00E55CE0"/>
    <w:rsid w:val="00E6364E"/>
    <w:rsid w:val="00E730DC"/>
    <w:rsid w:val="00E8071F"/>
    <w:rsid w:val="00E83CA1"/>
    <w:rsid w:val="00E84486"/>
    <w:rsid w:val="00E90B83"/>
    <w:rsid w:val="00E9783B"/>
    <w:rsid w:val="00EC1FD0"/>
    <w:rsid w:val="00EC33C1"/>
    <w:rsid w:val="00EC557D"/>
    <w:rsid w:val="00ED2CA5"/>
    <w:rsid w:val="00EE0643"/>
    <w:rsid w:val="00EE39B0"/>
    <w:rsid w:val="00EF376F"/>
    <w:rsid w:val="00EF6EED"/>
    <w:rsid w:val="00F006F5"/>
    <w:rsid w:val="00F01181"/>
    <w:rsid w:val="00F048EE"/>
    <w:rsid w:val="00F05231"/>
    <w:rsid w:val="00F06E85"/>
    <w:rsid w:val="00F07B73"/>
    <w:rsid w:val="00F1010C"/>
    <w:rsid w:val="00F113DA"/>
    <w:rsid w:val="00F11CD0"/>
    <w:rsid w:val="00F16E11"/>
    <w:rsid w:val="00F17E1E"/>
    <w:rsid w:val="00F21667"/>
    <w:rsid w:val="00F23FAA"/>
    <w:rsid w:val="00F25212"/>
    <w:rsid w:val="00F30A94"/>
    <w:rsid w:val="00F352E0"/>
    <w:rsid w:val="00F408E6"/>
    <w:rsid w:val="00F527E0"/>
    <w:rsid w:val="00F569F7"/>
    <w:rsid w:val="00F57052"/>
    <w:rsid w:val="00F574DF"/>
    <w:rsid w:val="00F64303"/>
    <w:rsid w:val="00F6612B"/>
    <w:rsid w:val="00F67D59"/>
    <w:rsid w:val="00F71E0B"/>
    <w:rsid w:val="00F7501E"/>
    <w:rsid w:val="00F76C99"/>
    <w:rsid w:val="00F76FF9"/>
    <w:rsid w:val="00F8003E"/>
    <w:rsid w:val="00F83BC9"/>
    <w:rsid w:val="00F842CA"/>
    <w:rsid w:val="00F84C2A"/>
    <w:rsid w:val="00F8575A"/>
    <w:rsid w:val="00F90F8D"/>
    <w:rsid w:val="00F923BD"/>
    <w:rsid w:val="00F953E8"/>
    <w:rsid w:val="00F96B40"/>
    <w:rsid w:val="00F9772A"/>
    <w:rsid w:val="00FA5CCF"/>
    <w:rsid w:val="00FB3F16"/>
    <w:rsid w:val="00FC73A1"/>
    <w:rsid w:val="00FD03D6"/>
    <w:rsid w:val="00FD4FE4"/>
    <w:rsid w:val="00FD730E"/>
    <w:rsid w:val="00FD7426"/>
    <w:rsid w:val="00FE41A9"/>
    <w:rsid w:val="00FE53B0"/>
    <w:rsid w:val="00FE7C40"/>
    <w:rsid w:val="00FF4EE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E8DE2"/>
  <w15:chartTrackingRefBased/>
  <w15:docId w15:val="{872AD9CC-5B21-4E9D-82C6-536FD2E6E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00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0EB"/>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0EB"/>
  </w:style>
  <w:style w:type="paragraph" w:styleId="Footer">
    <w:name w:val="footer"/>
    <w:basedOn w:val="Normal"/>
    <w:link w:val="FooterChar"/>
    <w:uiPriority w:val="99"/>
    <w:unhideWhenUsed/>
    <w:rsid w:val="009B00E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0EB"/>
  </w:style>
  <w:style w:type="paragraph" w:styleId="ListParagraph">
    <w:name w:val="List Paragraph"/>
    <w:basedOn w:val="Normal"/>
    <w:qFormat/>
    <w:rsid w:val="00F84C2A"/>
    <w:pPr>
      <w:ind w:left="720"/>
      <w:contextualSpacing/>
    </w:pPr>
  </w:style>
  <w:style w:type="table" w:styleId="TableGrid">
    <w:name w:val="Table Grid"/>
    <w:basedOn w:val="TableNormal"/>
    <w:uiPriority w:val="59"/>
    <w:rsid w:val="00692F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5F056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563"/>
    <w:rPr>
      <w:sz w:val="20"/>
      <w:szCs w:val="20"/>
    </w:rPr>
  </w:style>
  <w:style w:type="character" w:styleId="FootnoteReference">
    <w:name w:val="footnote reference"/>
    <w:basedOn w:val="DefaultParagraphFont"/>
    <w:uiPriority w:val="99"/>
    <w:semiHidden/>
    <w:unhideWhenUsed/>
    <w:rsid w:val="005F0563"/>
    <w:rPr>
      <w:vertAlign w:val="superscript"/>
    </w:rPr>
  </w:style>
  <w:style w:type="character" w:styleId="CommentReference">
    <w:name w:val="annotation reference"/>
    <w:basedOn w:val="DefaultParagraphFont"/>
    <w:uiPriority w:val="99"/>
    <w:semiHidden/>
    <w:unhideWhenUsed/>
    <w:rsid w:val="002E4B29"/>
    <w:rPr>
      <w:sz w:val="16"/>
      <w:szCs w:val="16"/>
    </w:rPr>
  </w:style>
  <w:style w:type="paragraph" w:styleId="CommentText">
    <w:name w:val="annotation text"/>
    <w:basedOn w:val="Normal"/>
    <w:link w:val="CommentTextChar"/>
    <w:uiPriority w:val="99"/>
    <w:semiHidden/>
    <w:unhideWhenUsed/>
    <w:rsid w:val="002E4B29"/>
    <w:pPr>
      <w:spacing w:line="240" w:lineRule="auto"/>
    </w:pPr>
    <w:rPr>
      <w:sz w:val="20"/>
      <w:szCs w:val="20"/>
    </w:rPr>
  </w:style>
  <w:style w:type="character" w:customStyle="1" w:styleId="CommentTextChar">
    <w:name w:val="Comment Text Char"/>
    <w:basedOn w:val="DefaultParagraphFont"/>
    <w:link w:val="CommentText"/>
    <w:uiPriority w:val="99"/>
    <w:semiHidden/>
    <w:rsid w:val="002E4B29"/>
    <w:rPr>
      <w:sz w:val="20"/>
      <w:szCs w:val="20"/>
    </w:rPr>
  </w:style>
  <w:style w:type="paragraph" w:styleId="CommentSubject">
    <w:name w:val="annotation subject"/>
    <w:basedOn w:val="CommentText"/>
    <w:next w:val="CommentText"/>
    <w:link w:val="CommentSubjectChar"/>
    <w:uiPriority w:val="99"/>
    <w:semiHidden/>
    <w:unhideWhenUsed/>
    <w:rsid w:val="002E4B29"/>
    <w:rPr>
      <w:b/>
      <w:bCs/>
    </w:rPr>
  </w:style>
  <w:style w:type="character" w:customStyle="1" w:styleId="CommentSubjectChar">
    <w:name w:val="Comment Subject Char"/>
    <w:basedOn w:val="CommentTextChar"/>
    <w:link w:val="CommentSubject"/>
    <w:uiPriority w:val="99"/>
    <w:semiHidden/>
    <w:rsid w:val="002E4B29"/>
    <w:rPr>
      <w:b/>
      <w:bCs/>
      <w:sz w:val="20"/>
      <w:szCs w:val="20"/>
    </w:rPr>
  </w:style>
  <w:style w:type="paragraph" w:styleId="BalloonText">
    <w:name w:val="Balloon Text"/>
    <w:basedOn w:val="Normal"/>
    <w:link w:val="BalloonTextChar"/>
    <w:uiPriority w:val="99"/>
    <w:semiHidden/>
    <w:unhideWhenUsed/>
    <w:rsid w:val="00117E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E9E"/>
    <w:rPr>
      <w:rFonts w:ascii="Segoe UI" w:hAnsi="Segoe UI" w:cs="Segoe UI"/>
      <w:sz w:val="18"/>
      <w:szCs w:val="18"/>
    </w:rPr>
  </w:style>
  <w:style w:type="paragraph" w:styleId="NoSpacing">
    <w:name w:val="No Spacing"/>
    <w:uiPriority w:val="1"/>
    <w:qFormat/>
    <w:rsid w:val="00952723"/>
    <w:pPr>
      <w:spacing w:after="0" w:line="240" w:lineRule="auto"/>
    </w:pPr>
    <w:rPr>
      <w:rFonts w:ascii="Times New Roman" w:eastAsia="Times New Roman" w:hAnsi="Times New Roman" w:cs="Times New Roman"/>
      <w:sz w:val="24"/>
      <w:szCs w:val="24"/>
      <w:lang w:eastAsia="bg-BG"/>
    </w:rPr>
  </w:style>
  <w:style w:type="character" w:styleId="Hyperlink">
    <w:name w:val="Hyperlink"/>
    <w:basedOn w:val="DefaultParagraphFont"/>
    <w:uiPriority w:val="99"/>
    <w:unhideWhenUsed/>
    <w:rsid w:val="00F96B40"/>
    <w:rPr>
      <w:color w:val="5F5F5F" w:themeColor="hyperlink"/>
      <w:u w:val="single"/>
    </w:rPr>
  </w:style>
  <w:style w:type="character" w:styleId="FollowedHyperlink">
    <w:name w:val="FollowedHyperlink"/>
    <w:basedOn w:val="DefaultParagraphFont"/>
    <w:uiPriority w:val="99"/>
    <w:semiHidden/>
    <w:unhideWhenUsed/>
    <w:rsid w:val="000C5077"/>
    <w:rPr>
      <w:color w:val="919191" w:themeColor="followedHyperlink"/>
      <w:u w:val="single"/>
    </w:rPr>
  </w:style>
  <w:style w:type="table" w:customStyle="1" w:styleId="TableGrid1">
    <w:name w:val="Table Grid1"/>
    <w:basedOn w:val="TableNormal"/>
    <w:next w:val="TableGrid"/>
    <w:uiPriority w:val="39"/>
    <w:rsid w:val="003649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87F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9333C6"/>
    <w:pPr>
      <w:spacing w:after="0" w:line="240" w:lineRule="auto"/>
      <w:ind w:left="720"/>
    </w:pPr>
    <w:rPr>
      <w:rFonts w:ascii="Arial" w:eastAsia="Times New Roman" w:hAnsi="Arial" w:cs="Arial"/>
      <w:szCs w:val="20"/>
      <w:lang w:val="en-AU"/>
    </w:rPr>
  </w:style>
  <w:style w:type="character" w:customStyle="1" w:styleId="BodyTextIndentChar">
    <w:name w:val="Body Text Indent Char"/>
    <w:basedOn w:val="DefaultParagraphFont"/>
    <w:link w:val="BodyTextIndent"/>
    <w:uiPriority w:val="99"/>
    <w:rsid w:val="009333C6"/>
    <w:rPr>
      <w:rFonts w:ascii="Arial" w:eastAsia="Times New Roman" w:hAnsi="Arial" w:cs="Arial"/>
      <w:szCs w:val="20"/>
      <w:lang w:val="en-AU"/>
    </w:rPr>
  </w:style>
  <w:style w:type="paragraph" w:styleId="NormalWeb">
    <w:name w:val="Normal (Web)"/>
    <w:basedOn w:val="Normal"/>
    <w:uiPriority w:val="99"/>
    <w:unhideWhenUsed/>
    <w:rsid w:val="007D7D01"/>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Strong">
    <w:name w:val="Strong"/>
    <w:basedOn w:val="DefaultParagraphFont"/>
    <w:uiPriority w:val="22"/>
    <w:qFormat/>
    <w:rsid w:val="007D7D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5327">
      <w:bodyDiv w:val="1"/>
      <w:marLeft w:val="0"/>
      <w:marRight w:val="0"/>
      <w:marTop w:val="0"/>
      <w:marBottom w:val="0"/>
      <w:divBdr>
        <w:top w:val="none" w:sz="0" w:space="0" w:color="auto"/>
        <w:left w:val="none" w:sz="0" w:space="0" w:color="auto"/>
        <w:bottom w:val="none" w:sz="0" w:space="0" w:color="auto"/>
        <w:right w:val="none" w:sz="0" w:space="0" w:color="auto"/>
      </w:divBdr>
    </w:div>
    <w:div w:id="8147869">
      <w:bodyDiv w:val="1"/>
      <w:marLeft w:val="0"/>
      <w:marRight w:val="0"/>
      <w:marTop w:val="0"/>
      <w:marBottom w:val="0"/>
      <w:divBdr>
        <w:top w:val="none" w:sz="0" w:space="0" w:color="auto"/>
        <w:left w:val="none" w:sz="0" w:space="0" w:color="auto"/>
        <w:bottom w:val="none" w:sz="0" w:space="0" w:color="auto"/>
        <w:right w:val="none" w:sz="0" w:space="0" w:color="auto"/>
      </w:divBdr>
    </w:div>
    <w:div w:id="38677176">
      <w:bodyDiv w:val="1"/>
      <w:marLeft w:val="0"/>
      <w:marRight w:val="0"/>
      <w:marTop w:val="0"/>
      <w:marBottom w:val="0"/>
      <w:divBdr>
        <w:top w:val="none" w:sz="0" w:space="0" w:color="auto"/>
        <w:left w:val="none" w:sz="0" w:space="0" w:color="auto"/>
        <w:bottom w:val="none" w:sz="0" w:space="0" w:color="auto"/>
        <w:right w:val="none" w:sz="0" w:space="0" w:color="auto"/>
      </w:divBdr>
    </w:div>
    <w:div w:id="44530442">
      <w:bodyDiv w:val="1"/>
      <w:marLeft w:val="0"/>
      <w:marRight w:val="0"/>
      <w:marTop w:val="0"/>
      <w:marBottom w:val="0"/>
      <w:divBdr>
        <w:top w:val="none" w:sz="0" w:space="0" w:color="auto"/>
        <w:left w:val="none" w:sz="0" w:space="0" w:color="auto"/>
        <w:bottom w:val="none" w:sz="0" w:space="0" w:color="auto"/>
        <w:right w:val="none" w:sz="0" w:space="0" w:color="auto"/>
      </w:divBdr>
    </w:div>
    <w:div w:id="45492840">
      <w:bodyDiv w:val="1"/>
      <w:marLeft w:val="0"/>
      <w:marRight w:val="0"/>
      <w:marTop w:val="0"/>
      <w:marBottom w:val="0"/>
      <w:divBdr>
        <w:top w:val="none" w:sz="0" w:space="0" w:color="auto"/>
        <w:left w:val="none" w:sz="0" w:space="0" w:color="auto"/>
        <w:bottom w:val="none" w:sz="0" w:space="0" w:color="auto"/>
        <w:right w:val="none" w:sz="0" w:space="0" w:color="auto"/>
      </w:divBdr>
    </w:div>
    <w:div w:id="52847959">
      <w:bodyDiv w:val="1"/>
      <w:marLeft w:val="0"/>
      <w:marRight w:val="0"/>
      <w:marTop w:val="0"/>
      <w:marBottom w:val="0"/>
      <w:divBdr>
        <w:top w:val="none" w:sz="0" w:space="0" w:color="auto"/>
        <w:left w:val="none" w:sz="0" w:space="0" w:color="auto"/>
        <w:bottom w:val="none" w:sz="0" w:space="0" w:color="auto"/>
        <w:right w:val="none" w:sz="0" w:space="0" w:color="auto"/>
      </w:divBdr>
    </w:div>
    <w:div w:id="85421170">
      <w:bodyDiv w:val="1"/>
      <w:marLeft w:val="0"/>
      <w:marRight w:val="0"/>
      <w:marTop w:val="0"/>
      <w:marBottom w:val="0"/>
      <w:divBdr>
        <w:top w:val="none" w:sz="0" w:space="0" w:color="auto"/>
        <w:left w:val="none" w:sz="0" w:space="0" w:color="auto"/>
        <w:bottom w:val="none" w:sz="0" w:space="0" w:color="auto"/>
        <w:right w:val="none" w:sz="0" w:space="0" w:color="auto"/>
      </w:divBdr>
    </w:div>
    <w:div w:id="123894142">
      <w:bodyDiv w:val="1"/>
      <w:marLeft w:val="0"/>
      <w:marRight w:val="0"/>
      <w:marTop w:val="0"/>
      <w:marBottom w:val="0"/>
      <w:divBdr>
        <w:top w:val="none" w:sz="0" w:space="0" w:color="auto"/>
        <w:left w:val="none" w:sz="0" w:space="0" w:color="auto"/>
        <w:bottom w:val="none" w:sz="0" w:space="0" w:color="auto"/>
        <w:right w:val="none" w:sz="0" w:space="0" w:color="auto"/>
      </w:divBdr>
    </w:div>
    <w:div w:id="138112075">
      <w:bodyDiv w:val="1"/>
      <w:marLeft w:val="0"/>
      <w:marRight w:val="0"/>
      <w:marTop w:val="0"/>
      <w:marBottom w:val="0"/>
      <w:divBdr>
        <w:top w:val="none" w:sz="0" w:space="0" w:color="auto"/>
        <w:left w:val="none" w:sz="0" w:space="0" w:color="auto"/>
        <w:bottom w:val="none" w:sz="0" w:space="0" w:color="auto"/>
        <w:right w:val="none" w:sz="0" w:space="0" w:color="auto"/>
      </w:divBdr>
    </w:div>
    <w:div w:id="141972179">
      <w:bodyDiv w:val="1"/>
      <w:marLeft w:val="0"/>
      <w:marRight w:val="0"/>
      <w:marTop w:val="0"/>
      <w:marBottom w:val="0"/>
      <w:divBdr>
        <w:top w:val="none" w:sz="0" w:space="0" w:color="auto"/>
        <w:left w:val="none" w:sz="0" w:space="0" w:color="auto"/>
        <w:bottom w:val="none" w:sz="0" w:space="0" w:color="auto"/>
        <w:right w:val="none" w:sz="0" w:space="0" w:color="auto"/>
      </w:divBdr>
    </w:div>
    <w:div w:id="157115976">
      <w:bodyDiv w:val="1"/>
      <w:marLeft w:val="0"/>
      <w:marRight w:val="0"/>
      <w:marTop w:val="0"/>
      <w:marBottom w:val="0"/>
      <w:divBdr>
        <w:top w:val="none" w:sz="0" w:space="0" w:color="auto"/>
        <w:left w:val="none" w:sz="0" w:space="0" w:color="auto"/>
        <w:bottom w:val="none" w:sz="0" w:space="0" w:color="auto"/>
        <w:right w:val="none" w:sz="0" w:space="0" w:color="auto"/>
      </w:divBdr>
    </w:div>
    <w:div w:id="160433966">
      <w:bodyDiv w:val="1"/>
      <w:marLeft w:val="0"/>
      <w:marRight w:val="0"/>
      <w:marTop w:val="0"/>
      <w:marBottom w:val="0"/>
      <w:divBdr>
        <w:top w:val="none" w:sz="0" w:space="0" w:color="auto"/>
        <w:left w:val="none" w:sz="0" w:space="0" w:color="auto"/>
        <w:bottom w:val="none" w:sz="0" w:space="0" w:color="auto"/>
        <w:right w:val="none" w:sz="0" w:space="0" w:color="auto"/>
      </w:divBdr>
    </w:div>
    <w:div w:id="163328664">
      <w:bodyDiv w:val="1"/>
      <w:marLeft w:val="0"/>
      <w:marRight w:val="0"/>
      <w:marTop w:val="0"/>
      <w:marBottom w:val="0"/>
      <w:divBdr>
        <w:top w:val="none" w:sz="0" w:space="0" w:color="auto"/>
        <w:left w:val="none" w:sz="0" w:space="0" w:color="auto"/>
        <w:bottom w:val="none" w:sz="0" w:space="0" w:color="auto"/>
        <w:right w:val="none" w:sz="0" w:space="0" w:color="auto"/>
      </w:divBdr>
    </w:div>
    <w:div w:id="181014340">
      <w:bodyDiv w:val="1"/>
      <w:marLeft w:val="0"/>
      <w:marRight w:val="0"/>
      <w:marTop w:val="0"/>
      <w:marBottom w:val="0"/>
      <w:divBdr>
        <w:top w:val="none" w:sz="0" w:space="0" w:color="auto"/>
        <w:left w:val="none" w:sz="0" w:space="0" w:color="auto"/>
        <w:bottom w:val="none" w:sz="0" w:space="0" w:color="auto"/>
        <w:right w:val="none" w:sz="0" w:space="0" w:color="auto"/>
      </w:divBdr>
    </w:div>
    <w:div w:id="186406830">
      <w:bodyDiv w:val="1"/>
      <w:marLeft w:val="0"/>
      <w:marRight w:val="0"/>
      <w:marTop w:val="0"/>
      <w:marBottom w:val="0"/>
      <w:divBdr>
        <w:top w:val="none" w:sz="0" w:space="0" w:color="auto"/>
        <w:left w:val="none" w:sz="0" w:space="0" w:color="auto"/>
        <w:bottom w:val="none" w:sz="0" w:space="0" w:color="auto"/>
        <w:right w:val="none" w:sz="0" w:space="0" w:color="auto"/>
      </w:divBdr>
    </w:div>
    <w:div w:id="196084268">
      <w:bodyDiv w:val="1"/>
      <w:marLeft w:val="0"/>
      <w:marRight w:val="0"/>
      <w:marTop w:val="0"/>
      <w:marBottom w:val="0"/>
      <w:divBdr>
        <w:top w:val="none" w:sz="0" w:space="0" w:color="auto"/>
        <w:left w:val="none" w:sz="0" w:space="0" w:color="auto"/>
        <w:bottom w:val="none" w:sz="0" w:space="0" w:color="auto"/>
        <w:right w:val="none" w:sz="0" w:space="0" w:color="auto"/>
      </w:divBdr>
    </w:div>
    <w:div w:id="206138586">
      <w:bodyDiv w:val="1"/>
      <w:marLeft w:val="0"/>
      <w:marRight w:val="0"/>
      <w:marTop w:val="0"/>
      <w:marBottom w:val="0"/>
      <w:divBdr>
        <w:top w:val="none" w:sz="0" w:space="0" w:color="auto"/>
        <w:left w:val="none" w:sz="0" w:space="0" w:color="auto"/>
        <w:bottom w:val="none" w:sz="0" w:space="0" w:color="auto"/>
        <w:right w:val="none" w:sz="0" w:space="0" w:color="auto"/>
      </w:divBdr>
    </w:div>
    <w:div w:id="224031639">
      <w:bodyDiv w:val="1"/>
      <w:marLeft w:val="0"/>
      <w:marRight w:val="0"/>
      <w:marTop w:val="0"/>
      <w:marBottom w:val="0"/>
      <w:divBdr>
        <w:top w:val="none" w:sz="0" w:space="0" w:color="auto"/>
        <w:left w:val="none" w:sz="0" w:space="0" w:color="auto"/>
        <w:bottom w:val="none" w:sz="0" w:space="0" w:color="auto"/>
        <w:right w:val="none" w:sz="0" w:space="0" w:color="auto"/>
      </w:divBdr>
    </w:div>
    <w:div w:id="236790855">
      <w:bodyDiv w:val="1"/>
      <w:marLeft w:val="0"/>
      <w:marRight w:val="0"/>
      <w:marTop w:val="0"/>
      <w:marBottom w:val="0"/>
      <w:divBdr>
        <w:top w:val="none" w:sz="0" w:space="0" w:color="auto"/>
        <w:left w:val="none" w:sz="0" w:space="0" w:color="auto"/>
        <w:bottom w:val="none" w:sz="0" w:space="0" w:color="auto"/>
        <w:right w:val="none" w:sz="0" w:space="0" w:color="auto"/>
      </w:divBdr>
      <w:divsChild>
        <w:div w:id="1382747715">
          <w:marLeft w:val="0"/>
          <w:marRight w:val="0"/>
          <w:marTop w:val="288"/>
          <w:marBottom w:val="0"/>
          <w:divBdr>
            <w:top w:val="none" w:sz="0" w:space="0" w:color="auto"/>
            <w:left w:val="none" w:sz="0" w:space="0" w:color="auto"/>
            <w:bottom w:val="none" w:sz="0" w:space="0" w:color="auto"/>
            <w:right w:val="none" w:sz="0" w:space="0" w:color="auto"/>
          </w:divBdr>
        </w:div>
      </w:divsChild>
    </w:div>
    <w:div w:id="241261003">
      <w:bodyDiv w:val="1"/>
      <w:marLeft w:val="0"/>
      <w:marRight w:val="0"/>
      <w:marTop w:val="0"/>
      <w:marBottom w:val="0"/>
      <w:divBdr>
        <w:top w:val="none" w:sz="0" w:space="0" w:color="auto"/>
        <w:left w:val="none" w:sz="0" w:space="0" w:color="auto"/>
        <w:bottom w:val="none" w:sz="0" w:space="0" w:color="auto"/>
        <w:right w:val="none" w:sz="0" w:space="0" w:color="auto"/>
      </w:divBdr>
    </w:div>
    <w:div w:id="243489333">
      <w:bodyDiv w:val="1"/>
      <w:marLeft w:val="0"/>
      <w:marRight w:val="0"/>
      <w:marTop w:val="0"/>
      <w:marBottom w:val="0"/>
      <w:divBdr>
        <w:top w:val="none" w:sz="0" w:space="0" w:color="auto"/>
        <w:left w:val="none" w:sz="0" w:space="0" w:color="auto"/>
        <w:bottom w:val="none" w:sz="0" w:space="0" w:color="auto"/>
        <w:right w:val="none" w:sz="0" w:space="0" w:color="auto"/>
      </w:divBdr>
    </w:div>
    <w:div w:id="301540373">
      <w:bodyDiv w:val="1"/>
      <w:marLeft w:val="0"/>
      <w:marRight w:val="0"/>
      <w:marTop w:val="0"/>
      <w:marBottom w:val="0"/>
      <w:divBdr>
        <w:top w:val="none" w:sz="0" w:space="0" w:color="auto"/>
        <w:left w:val="none" w:sz="0" w:space="0" w:color="auto"/>
        <w:bottom w:val="none" w:sz="0" w:space="0" w:color="auto"/>
        <w:right w:val="none" w:sz="0" w:space="0" w:color="auto"/>
      </w:divBdr>
    </w:div>
    <w:div w:id="310989986">
      <w:bodyDiv w:val="1"/>
      <w:marLeft w:val="0"/>
      <w:marRight w:val="0"/>
      <w:marTop w:val="0"/>
      <w:marBottom w:val="0"/>
      <w:divBdr>
        <w:top w:val="none" w:sz="0" w:space="0" w:color="auto"/>
        <w:left w:val="none" w:sz="0" w:space="0" w:color="auto"/>
        <w:bottom w:val="none" w:sz="0" w:space="0" w:color="auto"/>
        <w:right w:val="none" w:sz="0" w:space="0" w:color="auto"/>
      </w:divBdr>
    </w:div>
    <w:div w:id="357005676">
      <w:bodyDiv w:val="1"/>
      <w:marLeft w:val="0"/>
      <w:marRight w:val="0"/>
      <w:marTop w:val="0"/>
      <w:marBottom w:val="0"/>
      <w:divBdr>
        <w:top w:val="none" w:sz="0" w:space="0" w:color="auto"/>
        <w:left w:val="none" w:sz="0" w:space="0" w:color="auto"/>
        <w:bottom w:val="none" w:sz="0" w:space="0" w:color="auto"/>
        <w:right w:val="none" w:sz="0" w:space="0" w:color="auto"/>
      </w:divBdr>
    </w:div>
    <w:div w:id="424544733">
      <w:bodyDiv w:val="1"/>
      <w:marLeft w:val="0"/>
      <w:marRight w:val="0"/>
      <w:marTop w:val="0"/>
      <w:marBottom w:val="0"/>
      <w:divBdr>
        <w:top w:val="none" w:sz="0" w:space="0" w:color="auto"/>
        <w:left w:val="none" w:sz="0" w:space="0" w:color="auto"/>
        <w:bottom w:val="none" w:sz="0" w:space="0" w:color="auto"/>
        <w:right w:val="none" w:sz="0" w:space="0" w:color="auto"/>
      </w:divBdr>
      <w:divsChild>
        <w:div w:id="683629677">
          <w:marLeft w:val="0"/>
          <w:marRight w:val="0"/>
          <w:marTop w:val="288"/>
          <w:marBottom w:val="0"/>
          <w:divBdr>
            <w:top w:val="none" w:sz="0" w:space="0" w:color="auto"/>
            <w:left w:val="none" w:sz="0" w:space="0" w:color="auto"/>
            <w:bottom w:val="none" w:sz="0" w:space="0" w:color="auto"/>
            <w:right w:val="none" w:sz="0" w:space="0" w:color="auto"/>
          </w:divBdr>
        </w:div>
      </w:divsChild>
    </w:div>
    <w:div w:id="433135129">
      <w:bodyDiv w:val="1"/>
      <w:marLeft w:val="0"/>
      <w:marRight w:val="0"/>
      <w:marTop w:val="0"/>
      <w:marBottom w:val="0"/>
      <w:divBdr>
        <w:top w:val="none" w:sz="0" w:space="0" w:color="auto"/>
        <w:left w:val="none" w:sz="0" w:space="0" w:color="auto"/>
        <w:bottom w:val="none" w:sz="0" w:space="0" w:color="auto"/>
        <w:right w:val="none" w:sz="0" w:space="0" w:color="auto"/>
      </w:divBdr>
    </w:div>
    <w:div w:id="543323429">
      <w:bodyDiv w:val="1"/>
      <w:marLeft w:val="0"/>
      <w:marRight w:val="0"/>
      <w:marTop w:val="0"/>
      <w:marBottom w:val="0"/>
      <w:divBdr>
        <w:top w:val="none" w:sz="0" w:space="0" w:color="auto"/>
        <w:left w:val="none" w:sz="0" w:space="0" w:color="auto"/>
        <w:bottom w:val="none" w:sz="0" w:space="0" w:color="auto"/>
        <w:right w:val="none" w:sz="0" w:space="0" w:color="auto"/>
      </w:divBdr>
    </w:div>
    <w:div w:id="550504591">
      <w:bodyDiv w:val="1"/>
      <w:marLeft w:val="0"/>
      <w:marRight w:val="0"/>
      <w:marTop w:val="0"/>
      <w:marBottom w:val="0"/>
      <w:divBdr>
        <w:top w:val="none" w:sz="0" w:space="0" w:color="auto"/>
        <w:left w:val="none" w:sz="0" w:space="0" w:color="auto"/>
        <w:bottom w:val="none" w:sz="0" w:space="0" w:color="auto"/>
        <w:right w:val="none" w:sz="0" w:space="0" w:color="auto"/>
      </w:divBdr>
    </w:div>
    <w:div w:id="552540737">
      <w:bodyDiv w:val="1"/>
      <w:marLeft w:val="0"/>
      <w:marRight w:val="0"/>
      <w:marTop w:val="0"/>
      <w:marBottom w:val="0"/>
      <w:divBdr>
        <w:top w:val="none" w:sz="0" w:space="0" w:color="auto"/>
        <w:left w:val="none" w:sz="0" w:space="0" w:color="auto"/>
        <w:bottom w:val="none" w:sz="0" w:space="0" w:color="auto"/>
        <w:right w:val="none" w:sz="0" w:space="0" w:color="auto"/>
      </w:divBdr>
    </w:div>
    <w:div w:id="560141892">
      <w:bodyDiv w:val="1"/>
      <w:marLeft w:val="0"/>
      <w:marRight w:val="0"/>
      <w:marTop w:val="0"/>
      <w:marBottom w:val="0"/>
      <w:divBdr>
        <w:top w:val="none" w:sz="0" w:space="0" w:color="auto"/>
        <w:left w:val="none" w:sz="0" w:space="0" w:color="auto"/>
        <w:bottom w:val="none" w:sz="0" w:space="0" w:color="auto"/>
        <w:right w:val="none" w:sz="0" w:space="0" w:color="auto"/>
      </w:divBdr>
    </w:div>
    <w:div w:id="571622145">
      <w:bodyDiv w:val="1"/>
      <w:marLeft w:val="0"/>
      <w:marRight w:val="0"/>
      <w:marTop w:val="0"/>
      <w:marBottom w:val="0"/>
      <w:divBdr>
        <w:top w:val="none" w:sz="0" w:space="0" w:color="auto"/>
        <w:left w:val="none" w:sz="0" w:space="0" w:color="auto"/>
        <w:bottom w:val="none" w:sz="0" w:space="0" w:color="auto"/>
        <w:right w:val="none" w:sz="0" w:space="0" w:color="auto"/>
      </w:divBdr>
    </w:div>
    <w:div w:id="593251253">
      <w:bodyDiv w:val="1"/>
      <w:marLeft w:val="0"/>
      <w:marRight w:val="0"/>
      <w:marTop w:val="0"/>
      <w:marBottom w:val="0"/>
      <w:divBdr>
        <w:top w:val="none" w:sz="0" w:space="0" w:color="auto"/>
        <w:left w:val="none" w:sz="0" w:space="0" w:color="auto"/>
        <w:bottom w:val="none" w:sz="0" w:space="0" w:color="auto"/>
        <w:right w:val="none" w:sz="0" w:space="0" w:color="auto"/>
      </w:divBdr>
    </w:div>
    <w:div w:id="596988564">
      <w:bodyDiv w:val="1"/>
      <w:marLeft w:val="0"/>
      <w:marRight w:val="0"/>
      <w:marTop w:val="0"/>
      <w:marBottom w:val="0"/>
      <w:divBdr>
        <w:top w:val="none" w:sz="0" w:space="0" w:color="auto"/>
        <w:left w:val="none" w:sz="0" w:space="0" w:color="auto"/>
        <w:bottom w:val="none" w:sz="0" w:space="0" w:color="auto"/>
        <w:right w:val="none" w:sz="0" w:space="0" w:color="auto"/>
      </w:divBdr>
    </w:div>
    <w:div w:id="602961940">
      <w:bodyDiv w:val="1"/>
      <w:marLeft w:val="0"/>
      <w:marRight w:val="0"/>
      <w:marTop w:val="0"/>
      <w:marBottom w:val="0"/>
      <w:divBdr>
        <w:top w:val="none" w:sz="0" w:space="0" w:color="auto"/>
        <w:left w:val="none" w:sz="0" w:space="0" w:color="auto"/>
        <w:bottom w:val="none" w:sz="0" w:space="0" w:color="auto"/>
        <w:right w:val="none" w:sz="0" w:space="0" w:color="auto"/>
      </w:divBdr>
    </w:div>
    <w:div w:id="610281472">
      <w:bodyDiv w:val="1"/>
      <w:marLeft w:val="0"/>
      <w:marRight w:val="0"/>
      <w:marTop w:val="0"/>
      <w:marBottom w:val="0"/>
      <w:divBdr>
        <w:top w:val="none" w:sz="0" w:space="0" w:color="auto"/>
        <w:left w:val="none" w:sz="0" w:space="0" w:color="auto"/>
        <w:bottom w:val="none" w:sz="0" w:space="0" w:color="auto"/>
        <w:right w:val="none" w:sz="0" w:space="0" w:color="auto"/>
      </w:divBdr>
    </w:div>
    <w:div w:id="621888213">
      <w:bodyDiv w:val="1"/>
      <w:marLeft w:val="0"/>
      <w:marRight w:val="0"/>
      <w:marTop w:val="0"/>
      <w:marBottom w:val="0"/>
      <w:divBdr>
        <w:top w:val="none" w:sz="0" w:space="0" w:color="auto"/>
        <w:left w:val="none" w:sz="0" w:space="0" w:color="auto"/>
        <w:bottom w:val="none" w:sz="0" w:space="0" w:color="auto"/>
        <w:right w:val="none" w:sz="0" w:space="0" w:color="auto"/>
      </w:divBdr>
    </w:div>
    <w:div w:id="627127787">
      <w:bodyDiv w:val="1"/>
      <w:marLeft w:val="0"/>
      <w:marRight w:val="0"/>
      <w:marTop w:val="0"/>
      <w:marBottom w:val="0"/>
      <w:divBdr>
        <w:top w:val="none" w:sz="0" w:space="0" w:color="auto"/>
        <w:left w:val="none" w:sz="0" w:space="0" w:color="auto"/>
        <w:bottom w:val="none" w:sz="0" w:space="0" w:color="auto"/>
        <w:right w:val="none" w:sz="0" w:space="0" w:color="auto"/>
      </w:divBdr>
    </w:div>
    <w:div w:id="634800120">
      <w:bodyDiv w:val="1"/>
      <w:marLeft w:val="0"/>
      <w:marRight w:val="0"/>
      <w:marTop w:val="0"/>
      <w:marBottom w:val="0"/>
      <w:divBdr>
        <w:top w:val="none" w:sz="0" w:space="0" w:color="auto"/>
        <w:left w:val="none" w:sz="0" w:space="0" w:color="auto"/>
        <w:bottom w:val="none" w:sz="0" w:space="0" w:color="auto"/>
        <w:right w:val="none" w:sz="0" w:space="0" w:color="auto"/>
      </w:divBdr>
    </w:div>
    <w:div w:id="718668447">
      <w:bodyDiv w:val="1"/>
      <w:marLeft w:val="0"/>
      <w:marRight w:val="0"/>
      <w:marTop w:val="0"/>
      <w:marBottom w:val="0"/>
      <w:divBdr>
        <w:top w:val="none" w:sz="0" w:space="0" w:color="auto"/>
        <w:left w:val="none" w:sz="0" w:space="0" w:color="auto"/>
        <w:bottom w:val="none" w:sz="0" w:space="0" w:color="auto"/>
        <w:right w:val="none" w:sz="0" w:space="0" w:color="auto"/>
      </w:divBdr>
    </w:div>
    <w:div w:id="720443967">
      <w:bodyDiv w:val="1"/>
      <w:marLeft w:val="0"/>
      <w:marRight w:val="0"/>
      <w:marTop w:val="0"/>
      <w:marBottom w:val="0"/>
      <w:divBdr>
        <w:top w:val="none" w:sz="0" w:space="0" w:color="auto"/>
        <w:left w:val="none" w:sz="0" w:space="0" w:color="auto"/>
        <w:bottom w:val="none" w:sz="0" w:space="0" w:color="auto"/>
        <w:right w:val="none" w:sz="0" w:space="0" w:color="auto"/>
      </w:divBdr>
    </w:div>
    <w:div w:id="741297292">
      <w:bodyDiv w:val="1"/>
      <w:marLeft w:val="0"/>
      <w:marRight w:val="0"/>
      <w:marTop w:val="0"/>
      <w:marBottom w:val="0"/>
      <w:divBdr>
        <w:top w:val="none" w:sz="0" w:space="0" w:color="auto"/>
        <w:left w:val="none" w:sz="0" w:space="0" w:color="auto"/>
        <w:bottom w:val="none" w:sz="0" w:space="0" w:color="auto"/>
        <w:right w:val="none" w:sz="0" w:space="0" w:color="auto"/>
      </w:divBdr>
    </w:div>
    <w:div w:id="754713014">
      <w:bodyDiv w:val="1"/>
      <w:marLeft w:val="0"/>
      <w:marRight w:val="0"/>
      <w:marTop w:val="0"/>
      <w:marBottom w:val="0"/>
      <w:divBdr>
        <w:top w:val="none" w:sz="0" w:space="0" w:color="auto"/>
        <w:left w:val="none" w:sz="0" w:space="0" w:color="auto"/>
        <w:bottom w:val="none" w:sz="0" w:space="0" w:color="auto"/>
        <w:right w:val="none" w:sz="0" w:space="0" w:color="auto"/>
      </w:divBdr>
    </w:div>
    <w:div w:id="761605637">
      <w:bodyDiv w:val="1"/>
      <w:marLeft w:val="0"/>
      <w:marRight w:val="0"/>
      <w:marTop w:val="0"/>
      <w:marBottom w:val="0"/>
      <w:divBdr>
        <w:top w:val="none" w:sz="0" w:space="0" w:color="auto"/>
        <w:left w:val="none" w:sz="0" w:space="0" w:color="auto"/>
        <w:bottom w:val="none" w:sz="0" w:space="0" w:color="auto"/>
        <w:right w:val="none" w:sz="0" w:space="0" w:color="auto"/>
      </w:divBdr>
    </w:div>
    <w:div w:id="788162625">
      <w:bodyDiv w:val="1"/>
      <w:marLeft w:val="0"/>
      <w:marRight w:val="0"/>
      <w:marTop w:val="0"/>
      <w:marBottom w:val="0"/>
      <w:divBdr>
        <w:top w:val="none" w:sz="0" w:space="0" w:color="auto"/>
        <w:left w:val="none" w:sz="0" w:space="0" w:color="auto"/>
        <w:bottom w:val="none" w:sz="0" w:space="0" w:color="auto"/>
        <w:right w:val="none" w:sz="0" w:space="0" w:color="auto"/>
      </w:divBdr>
    </w:div>
    <w:div w:id="828255681">
      <w:bodyDiv w:val="1"/>
      <w:marLeft w:val="0"/>
      <w:marRight w:val="0"/>
      <w:marTop w:val="0"/>
      <w:marBottom w:val="0"/>
      <w:divBdr>
        <w:top w:val="none" w:sz="0" w:space="0" w:color="auto"/>
        <w:left w:val="none" w:sz="0" w:space="0" w:color="auto"/>
        <w:bottom w:val="none" w:sz="0" w:space="0" w:color="auto"/>
        <w:right w:val="none" w:sz="0" w:space="0" w:color="auto"/>
      </w:divBdr>
    </w:div>
    <w:div w:id="840237734">
      <w:bodyDiv w:val="1"/>
      <w:marLeft w:val="0"/>
      <w:marRight w:val="0"/>
      <w:marTop w:val="0"/>
      <w:marBottom w:val="0"/>
      <w:divBdr>
        <w:top w:val="none" w:sz="0" w:space="0" w:color="auto"/>
        <w:left w:val="none" w:sz="0" w:space="0" w:color="auto"/>
        <w:bottom w:val="none" w:sz="0" w:space="0" w:color="auto"/>
        <w:right w:val="none" w:sz="0" w:space="0" w:color="auto"/>
      </w:divBdr>
    </w:div>
    <w:div w:id="868877004">
      <w:bodyDiv w:val="1"/>
      <w:marLeft w:val="0"/>
      <w:marRight w:val="0"/>
      <w:marTop w:val="0"/>
      <w:marBottom w:val="0"/>
      <w:divBdr>
        <w:top w:val="none" w:sz="0" w:space="0" w:color="auto"/>
        <w:left w:val="none" w:sz="0" w:space="0" w:color="auto"/>
        <w:bottom w:val="none" w:sz="0" w:space="0" w:color="auto"/>
        <w:right w:val="none" w:sz="0" w:space="0" w:color="auto"/>
      </w:divBdr>
    </w:div>
    <w:div w:id="878517580">
      <w:bodyDiv w:val="1"/>
      <w:marLeft w:val="0"/>
      <w:marRight w:val="0"/>
      <w:marTop w:val="0"/>
      <w:marBottom w:val="0"/>
      <w:divBdr>
        <w:top w:val="none" w:sz="0" w:space="0" w:color="auto"/>
        <w:left w:val="none" w:sz="0" w:space="0" w:color="auto"/>
        <w:bottom w:val="none" w:sz="0" w:space="0" w:color="auto"/>
        <w:right w:val="none" w:sz="0" w:space="0" w:color="auto"/>
      </w:divBdr>
    </w:div>
    <w:div w:id="912204420">
      <w:bodyDiv w:val="1"/>
      <w:marLeft w:val="0"/>
      <w:marRight w:val="0"/>
      <w:marTop w:val="0"/>
      <w:marBottom w:val="0"/>
      <w:divBdr>
        <w:top w:val="none" w:sz="0" w:space="0" w:color="auto"/>
        <w:left w:val="none" w:sz="0" w:space="0" w:color="auto"/>
        <w:bottom w:val="none" w:sz="0" w:space="0" w:color="auto"/>
        <w:right w:val="none" w:sz="0" w:space="0" w:color="auto"/>
      </w:divBdr>
    </w:div>
    <w:div w:id="960460312">
      <w:bodyDiv w:val="1"/>
      <w:marLeft w:val="0"/>
      <w:marRight w:val="0"/>
      <w:marTop w:val="0"/>
      <w:marBottom w:val="0"/>
      <w:divBdr>
        <w:top w:val="none" w:sz="0" w:space="0" w:color="auto"/>
        <w:left w:val="none" w:sz="0" w:space="0" w:color="auto"/>
        <w:bottom w:val="none" w:sz="0" w:space="0" w:color="auto"/>
        <w:right w:val="none" w:sz="0" w:space="0" w:color="auto"/>
      </w:divBdr>
    </w:div>
    <w:div w:id="971013725">
      <w:bodyDiv w:val="1"/>
      <w:marLeft w:val="0"/>
      <w:marRight w:val="0"/>
      <w:marTop w:val="0"/>
      <w:marBottom w:val="0"/>
      <w:divBdr>
        <w:top w:val="none" w:sz="0" w:space="0" w:color="auto"/>
        <w:left w:val="none" w:sz="0" w:space="0" w:color="auto"/>
        <w:bottom w:val="none" w:sz="0" w:space="0" w:color="auto"/>
        <w:right w:val="none" w:sz="0" w:space="0" w:color="auto"/>
      </w:divBdr>
    </w:div>
    <w:div w:id="998921849">
      <w:bodyDiv w:val="1"/>
      <w:marLeft w:val="0"/>
      <w:marRight w:val="0"/>
      <w:marTop w:val="0"/>
      <w:marBottom w:val="0"/>
      <w:divBdr>
        <w:top w:val="none" w:sz="0" w:space="0" w:color="auto"/>
        <w:left w:val="none" w:sz="0" w:space="0" w:color="auto"/>
        <w:bottom w:val="none" w:sz="0" w:space="0" w:color="auto"/>
        <w:right w:val="none" w:sz="0" w:space="0" w:color="auto"/>
      </w:divBdr>
    </w:div>
    <w:div w:id="1044215267">
      <w:bodyDiv w:val="1"/>
      <w:marLeft w:val="0"/>
      <w:marRight w:val="0"/>
      <w:marTop w:val="0"/>
      <w:marBottom w:val="0"/>
      <w:divBdr>
        <w:top w:val="none" w:sz="0" w:space="0" w:color="auto"/>
        <w:left w:val="none" w:sz="0" w:space="0" w:color="auto"/>
        <w:bottom w:val="none" w:sz="0" w:space="0" w:color="auto"/>
        <w:right w:val="none" w:sz="0" w:space="0" w:color="auto"/>
      </w:divBdr>
    </w:div>
    <w:div w:id="1058355144">
      <w:bodyDiv w:val="1"/>
      <w:marLeft w:val="0"/>
      <w:marRight w:val="0"/>
      <w:marTop w:val="0"/>
      <w:marBottom w:val="0"/>
      <w:divBdr>
        <w:top w:val="none" w:sz="0" w:space="0" w:color="auto"/>
        <w:left w:val="none" w:sz="0" w:space="0" w:color="auto"/>
        <w:bottom w:val="none" w:sz="0" w:space="0" w:color="auto"/>
        <w:right w:val="none" w:sz="0" w:space="0" w:color="auto"/>
      </w:divBdr>
    </w:div>
    <w:div w:id="1072967631">
      <w:bodyDiv w:val="1"/>
      <w:marLeft w:val="0"/>
      <w:marRight w:val="0"/>
      <w:marTop w:val="0"/>
      <w:marBottom w:val="0"/>
      <w:divBdr>
        <w:top w:val="none" w:sz="0" w:space="0" w:color="auto"/>
        <w:left w:val="none" w:sz="0" w:space="0" w:color="auto"/>
        <w:bottom w:val="none" w:sz="0" w:space="0" w:color="auto"/>
        <w:right w:val="none" w:sz="0" w:space="0" w:color="auto"/>
      </w:divBdr>
    </w:div>
    <w:div w:id="1090584591">
      <w:bodyDiv w:val="1"/>
      <w:marLeft w:val="0"/>
      <w:marRight w:val="0"/>
      <w:marTop w:val="0"/>
      <w:marBottom w:val="0"/>
      <w:divBdr>
        <w:top w:val="none" w:sz="0" w:space="0" w:color="auto"/>
        <w:left w:val="none" w:sz="0" w:space="0" w:color="auto"/>
        <w:bottom w:val="none" w:sz="0" w:space="0" w:color="auto"/>
        <w:right w:val="none" w:sz="0" w:space="0" w:color="auto"/>
      </w:divBdr>
    </w:div>
    <w:div w:id="1146969779">
      <w:bodyDiv w:val="1"/>
      <w:marLeft w:val="0"/>
      <w:marRight w:val="0"/>
      <w:marTop w:val="0"/>
      <w:marBottom w:val="0"/>
      <w:divBdr>
        <w:top w:val="none" w:sz="0" w:space="0" w:color="auto"/>
        <w:left w:val="none" w:sz="0" w:space="0" w:color="auto"/>
        <w:bottom w:val="none" w:sz="0" w:space="0" w:color="auto"/>
        <w:right w:val="none" w:sz="0" w:space="0" w:color="auto"/>
      </w:divBdr>
    </w:div>
    <w:div w:id="1150751413">
      <w:bodyDiv w:val="1"/>
      <w:marLeft w:val="0"/>
      <w:marRight w:val="0"/>
      <w:marTop w:val="0"/>
      <w:marBottom w:val="0"/>
      <w:divBdr>
        <w:top w:val="none" w:sz="0" w:space="0" w:color="auto"/>
        <w:left w:val="none" w:sz="0" w:space="0" w:color="auto"/>
        <w:bottom w:val="none" w:sz="0" w:space="0" w:color="auto"/>
        <w:right w:val="none" w:sz="0" w:space="0" w:color="auto"/>
      </w:divBdr>
    </w:div>
    <w:div w:id="1156728056">
      <w:bodyDiv w:val="1"/>
      <w:marLeft w:val="0"/>
      <w:marRight w:val="0"/>
      <w:marTop w:val="0"/>
      <w:marBottom w:val="0"/>
      <w:divBdr>
        <w:top w:val="none" w:sz="0" w:space="0" w:color="auto"/>
        <w:left w:val="none" w:sz="0" w:space="0" w:color="auto"/>
        <w:bottom w:val="none" w:sz="0" w:space="0" w:color="auto"/>
        <w:right w:val="none" w:sz="0" w:space="0" w:color="auto"/>
      </w:divBdr>
    </w:div>
    <w:div w:id="1181774769">
      <w:bodyDiv w:val="1"/>
      <w:marLeft w:val="0"/>
      <w:marRight w:val="0"/>
      <w:marTop w:val="0"/>
      <w:marBottom w:val="0"/>
      <w:divBdr>
        <w:top w:val="none" w:sz="0" w:space="0" w:color="auto"/>
        <w:left w:val="none" w:sz="0" w:space="0" w:color="auto"/>
        <w:bottom w:val="none" w:sz="0" w:space="0" w:color="auto"/>
        <w:right w:val="none" w:sz="0" w:space="0" w:color="auto"/>
      </w:divBdr>
    </w:div>
    <w:div w:id="1190141273">
      <w:bodyDiv w:val="1"/>
      <w:marLeft w:val="0"/>
      <w:marRight w:val="0"/>
      <w:marTop w:val="0"/>
      <w:marBottom w:val="0"/>
      <w:divBdr>
        <w:top w:val="none" w:sz="0" w:space="0" w:color="auto"/>
        <w:left w:val="none" w:sz="0" w:space="0" w:color="auto"/>
        <w:bottom w:val="none" w:sz="0" w:space="0" w:color="auto"/>
        <w:right w:val="none" w:sz="0" w:space="0" w:color="auto"/>
      </w:divBdr>
    </w:div>
    <w:div w:id="1200628032">
      <w:bodyDiv w:val="1"/>
      <w:marLeft w:val="0"/>
      <w:marRight w:val="0"/>
      <w:marTop w:val="0"/>
      <w:marBottom w:val="0"/>
      <w:divBdr>
        <w:top w:val="none" w:sz="0" w:space="0" w:color="auto"/>
        <w:left w:val="none" w:sz="0" w:space="0" w:color="auto"/>
        <w:bottom w:val="none" w:sz="0" w:space="0" w:color="auto"/>
        <w:right w:val="none" w:sz="0" w:space="0" w:color="auto"/>
      </w:divBdr>
    </w:div>
    <w:div w:id="1227690436">
      <w:bodyDiv w:val="1"/>
      <w:marLeft w:val="0"/>
      <w:marRight w:val="0"/>
      <w:marTop w:val="0"/>
      <w:marBottom w:val="0"/>
      <w:divBdr>
        <w:top w:val="none" w:sz="0" w:space="0" w:color="auto"/>
        <w:left w:val="none" w:sz="0" w:space="0" w:color="auto"/>
        <w:bottom w:val="none" w:sz="0" w:space="0" w:color="auto"/>
        <w:right w:val="none" w:sz="0" w:space="0" w:color="auto"/>
      </w:divBdr>
    </w:div>
    <w:div w:id="1228153539">
      <w:bodyDiv w:val="1"/>
      <w:marLeft w:val="0"/>
      <w:marRight w:val="0"/>
      <w:marTop w:val="0"/>
      <w:marBottom w:val="0"/>
      <w:divBdr>
        <w:top w:val="none" w:sz="0" w:space="0" w:color="auto"/>
        <w:left w:val="none" w:sz="0" w:space="0" w:color="auto"/>
        <w:bottom w:val="none" w:sz="0" w:space="0" w:color="auto"/>
        <w:right w:val="none" w:sz="0" w:space="0" w:color="auto"/>
      </w:divBdr>
    </w:div>
    <w:div w:id="1249584180">
      <w:bodyDiv w:val="1"/>
      <w:marLeft w:val="0"/>
      <w:marRight w:val="0"/>
      <w:marTop w:val="0"/>
      <w:marBottom w:val="0"/>
      <w:divBdr>
        <w:top w:val="none" w:sz="0" w:space="0" w:color="auto"/>
        <w:left w:val="none" w:sz="0" w:space="0" w:color="auto"/>
        <w:bottom w:val="none" w:sz="0" w:space="0" w:color="auto"/>
        <w:right w:val="none" w:sz="0" w:space="0" w:color="auto"/>
      </w:divBdr>
    </w:div>
    <w:div w:id="1283074866">
      <w:bodyDiv w:val="1"/>
      <w:marLeft w:val="0"/>
      <w:marRight w:val="0"/>
      <w:marTop w:val="0"/>
      <w:marBottom w:val="0"/>
      <w:divBdr>
        <w:top w:val="none" w:sz="0" w:space="0" w:color="auto"/>
        <w:left w:val="none" w:sz="0" w:space="0" w:color="auto"/>
        <w:bottom w:val="none" w:sz="0" w:space="0" w:color="auto"/>
        <w:right w:val="none" w:sz="0" w:space="0" w:color="auto"/>
      </w:divBdr>
    </w:div>
    <w:div w:id="1287002434">
      <w:bodyDiv w:val="1"/>
      <w:marLeft w:val="0"/>
      <w:marRight w:val="0"/>
      <w:marTop w:val="0"/>
      <w:marBottom w:val="0"/>
      <w:divBdr>
        <w:top w:val="none" w:sz="0" w:space="0" w:color="auto"/>
        <w:left w:val="none" w:sz="0" w:space="0" w:color="auto"/>
        <w:bottom w:val="none" w:sz="0" w:space="0" w:color="auto"/>
        <w:right w:val="none" w:sz="0" w:space="0" w:color="auto"/>
      </w:divBdr>
    </w:div>
    <w:div w:id="1292129792">
      <w:bodyDiv w:val="1"/>
      <w:marLeft w:val="0"/>
      <w:marRight w:val="0"/>
      <w:marTop w:val="0"/>
      <w:marBottom w:val="0"/>
      <w:divBdr>
        <w:top w:val="none" w:sz="0" w:space="0" w:color="auto"/>
        <w:left w:val="none" w:sz="0" w:space="0" w:color="auto"/>
        <w:bottom w:val="none" w:sz="0" w:space="0" w:color="auto"/>
        <w:right w:val="none" w:sz="0" w:space="0" w:color="auto"/>
      </w:divBdr>
    </w:div>
    <w:div w:id="1303081368">
      <w:bodyDiv w:val="1"/>
      <w:marLeft w:val="0"/>
      <w:marRight w:val="0"/>
      <w:marTop w:val="0"/>
      <w:marBottom w:val="0"/>
      <w:divBdr>
        <w:top w:val="none" w:sz="0" w:space="0" w:color="auto"/>
        <w:left w:val="none" w:sz="0" w:space="0" w:color="auto"/>
        <w:bottom w:val="none" w:sz="0" w:space="0" w:color="auto"/>
        <w:right w:val="none" w:sz="0" w:space="0" w:color="auto"/>
      </w:divBdr>
    </w:div>
    <w:div w:id="1354721334">
      <w:bodyDiv w:val="1"/>
      <w:marLeft w:val="0"/>
      <w:marRight w:val="0"/>
      <w:marTop w:val="0"/>
      <w:marBottom w:val="0"/>
      <w:divBdr>
        <w:top w:val="none" w:sz="0" w:space="0" w:color="auto"/>
        <w:left w:val="none" w:sz="0" w:space="0" w:color="auto"/>
        <w:bottom w:val="none" w:sz="0" w:space="0" w:color="auto"/>
        <w:right w:val="none" w:sz="0" w:space="0" w:color="auto"/>
      </w:divBdr>
    </w:div>
    <w:div w:id="1386416424">
      <w:bodyDiv w:val="1"/>
      <w:marLeft w:val="0"/>
      <w:marRight w:val="0"/>
      <w:marTop w:val="0"/>
      <w:marBottom w:val="0"/>
      <w:divBdr>
        <w:top w:val="none" w:sz="0" w:space="0" w:color="auto"/>
        <w:left w:val="none" w:sz="0" w:space="0" w:color="auto"/>
        <w:bottom w:val="none" w:sz="0" w:space="0" w:color="auto"/>
        <w:right w:val="none" w:sz="0" w:space="0" w:color="auto"/>
      </w:divBdr>
    </w:div>
    <w:div w:id="1394891845">
      <w:bodyDiv w:val="1"/>
      <w:marLeft w:val="0"/>
      <w:marRight w:val="0"/>
      <w:marTop w:val="0"/>
      <w:marBottom w:val="0"/>
      <w:divBdr>
        <w:top w:val="none" w:sz="0" w:space="0" w:color="auto"/>
        <w:left w:val="none" w:sz="0" w:space="0" w:color="auto"/>
        <w:bottom w:val="none" w:sz="0" w:space="0" w:color="auto"/>
        <w:right w:val="none" w:sz="0" w:space="0" w:color="auto"/>
      </w:divBdr>
    </w:div>
    <w:div w:id="1410619055">
      <w:bodyDiv w:val="1"/>
      <w:marLeft w:val="0"/>
      <w:marRight w:val="0"/>
      <w:marTop w:val="0"/>
      <w:marBottom w:val="0"/>
      <w:divBdr>
        <w:top w:val="none" w:sz="0" w:space="0" w:color="auto"/>
        <w:left w:val="none" w:sz="0" w:space="0" w:color="auto"/>
        <w:bottom w:val="none" w:sz="0" w:space="0" w:color="auto"/>
        <w:right w:val="none" w:sz="0" w:space="0" w:color="auto"/>
      </w:divBdr>
    </w:div>
    <w:div w:id="1421562802">
      <w:bodyDiv w:val="1"/>
      <w:marLeft w:val="0"/>
      <w:marRight w:val="0"/>
      <w:marTop w:val="0"/>
      <w:marBottom w:val="0"/>
      <w:divBdr>
        <w:top w:val="none" w:sz="0" w:space="0" w:color="auto"/>
        <w:left w:val="none" w:sz="0" w:space="0" w:color="auto"/>
        <w:bottom w:val="none" w:sz="0" w:space="0" w:color="auto"/>
        <w:right w:val="none" w:sz="0" w:space="0" w:color="auto"/>
      </w:divBdr>
    </w:div>
    <w:div w:id="1466043563">
      <w:bodyDiv w:val="1"/>
      <w:marLeft w:val="0"/>
      <w:marRight w:val="0"/>
      <w:marTop w:val="0"/>
      <w:marBottom w:val="0"/>
      <w:divBdr>
        <w:top w:val="none" w:sz="0" w:space="0" w:color="auto"/>
        <w:left w:val="none" w:sz="0" w:space="0" w:color="auto"/>
        <w:bottom w:val="none" w:sz="0" w:space="0" w:color="auto"/>
        <w:right w:val="none" w:sz="0" w:space="0" w:color="auto"/>
      </w:divBdr>
    </w:div>
    <w:div w:id="1476413097">
      <w:bodyDiv w:val="1"/>
      <w:marLeft w:val="0"/>
      <w:marRight w:val="0"/>
      <w:marTop w:val="0"/>
      <w:marBottom w:val="0"/>
      <w:divBdr>
        <w:top w:val="none" w:sz="0" w:space="0" w:color="auto"/>
        <w:left w:val="none" w:sz="0" w:space="0" w:color="auto"/>
        <w:bottom w:val="none" w:sz="0" w:space="0" w:color="auto"/>
        <w:right w:val="none" w:sz="0" w:space="0" w:color="auto"/>
      </w:divBdr>
    </w:div>
    <w:div w:id="1477213127">
      <w:bodyDiv w:val="1"/>
      <w:marLeft w:val="0"/>
      <w:marRight w:val="0"/>
      <w:marTop w:val="0"/>
      <w:marBottom w:val="0"/>
      <w:divBdr>
        <w:top w:val="none" w:sz="0" w:space="0" w:color="auto"/>
        <w:left w:val="none" w:sz="0" w:space="0" w:color="auto"/>
        <w:bottom w:val="none" w:sz="0" w:space="0" w:color="auto"/>
        <w:right w:val="none" w:sz="0" w:space="0" w:color="auto"/>
      </w:divBdr>
    </w:div>
    <w:div w:id="1483234736">
      <w:bodyDiv w:val="1"/>
      <w:marLeft w:val="0"/>
      <w:marRight w:val="0"/>
      <w:marTop w:val="0"/>
      <w:marBottom w:val="0"/>
      <w:divBdr>
        <w:top w:val="none" w:sz="0" w:space="0" w:color="auto"/>
        <w:left w:val="none" w:sz="0" w:space="0" w:color="auto"/>
        <w:bottom w:val="none" w:sz="0" w:space="0" w:color="auto"/>
        <w:right w:val="none" w:sz="0" w:space="0" w:color="auto"/>
      </w:divBdr>
    </w:div>
    <w:div w:id="1494487983">
      <w:bodyDiv w:val="1"/>
      <w:marLeft w:val="0"/>
      <w:marRight w:val="0"/>
      <w:marTop w:val="0"/>
      <w:marBottom w:val="0"/>
      <w:divBdr>
        <w:top w:val="none" w:sz="0" w:space="0" w:color="auto"/>
        <w:left w:val="none" w:sz="0" w:space="0" w:color="auto"/>
        <w:bottom w:val="none" w:sz="0" w:space="0" w:color="auto"/>
        <w:right w:val="none" w:sz="0" w:space="0" w:color="auto"/>
      </w:divBdr>
    </w:div>
    <w:div w:id="1505318439">
      <w:bodyDiv w:val="1"/>
      <w:marLeft w:val="0"/>
      <w:marRight w:val="0"/>
      <w:marTop w:val="0"/>
      <w:marBottom w:val="0"/>
      <w:divBdr>
        <w:top w:val="none" w:sz="0" w:space="0" w:color="auto"/>
        <w:left w:val="none" w:sz="0" w:space="0" w:color="auto"/>
        <w:bottom w:val="none" w:sz="0" w:space="0" w:color="auto"/>
        <w:right w:val="none" w:sz="0" w:space="0" w:color="auto"/>
      </w:divBdr>
    </w:div>
    <w:div w:id="1512598328">
      <w:bodyDiv w:val="1"/>
      <w:marLeft w:val="0"/>
      <w:marRight w:val="0"/>
      <w:marTop w:val="0"/>
      <w:marBottom w:val="0"/>
      <w:divBdr>
        <w:top w:val="none" w:sz="0" w:space="0" w:color="auto"/>
        <w:left w:val="none" w:sz="0" w:space="0" w:color="auto"/>
        <w:bottom w:val="none" w:sz="0" w:space="0" w:color="auto"/>
        <w:right w:val="none" w:sz="0" w:space="0" w:color="auto"/>
      </w:divBdr>
    </w:div>
    <w:div w:id="1525168925">
      <w:bodyDiv w:val="1"/>
      <w:marLeft w:val="0"/>
      <w:marRight w:val="0"/>
      <w:marTop w:val="0"/>
      <w:marBottom w:val="0"/>
      <w:divBdr>
        <w:top w:val="none" w:sz="0" w:space="0" w:color="auto"/>
        <w:left w:val="none" w:sz="0" w:space="0" w:color="auto"/>
        <w:bottom w:val="none" w:sz="0" w:space="0" w:color="auto"/>
        <w:right w:val="none" w:sz="0" w:space="0" w:color="auto"/>
      </w:divBdr>
    </w:div>
    <w:div w:id="1533688454">
      <w:bodyDiv w:val="1"/>
      <w:marLeft w:val="0"/>
      <w:marRight w:val="0"/>
      <w:marTop w:val="0"/>
      <w:marBottom w:val="0"/>
      <w:divBdr>
        <w:top w:val="none" w:sz="0" w:space="0" w:color="auto"/>
        <w:left w:val="none" w:sz="0" w:space="0" w:color="auto"/>
        <w:bottom w:val="none" w:sz="0" w:space="0" w:color="auto"/>
        <w:right w:val="none" w:sz="0" w:space="0" w:color="auto"/>
      </w:divBdr>
    </w:div>
    <w:div w:id="1577932497">
      <w:bodyDiv w:val="1"/>
      <w:marLeft w:val="0"/>
      <w:marRight w:val="0"/>
      <w:marTop w:val="0"/>
      <w:marBottom w:val="0"/>
      <w:divBdr>
        <w:top w:val="none" w:sz="0" w:space="0" w:color="auto"/>
        <w:left w:val="none" w:sz="0" w:space="0" w:color="auto"/>
        <w:bottom w:val="none" w:sz="0" w:space="0" w:color="auto"/>
        <w:right w:val="none" w:sz="0" w:space="0" w:color="auto"/>
      </w:divBdr>
    </w:div>
    <w:div w:id="1581987478">
      <w:bodyDiv w:val="1"/>
      <w:marLeft w:val="0"/>
      <w:marRight w:val="0"/>
      <w:marTop w:val="0"/>
      <w:marBottom w:val="0"/>
      <w:divBdr>
        <w:top w:val="none" w:sz="0" w:space="0" w:color="auto"/>
        <w:left w:val="none" w:sz="0" w:space="0" w:color="auto"/>
        <w:bottom w:val="none" w:sz="0" w:space="0" w:color="auto"/>
        <w:right w:val="none" w:sz="0" w:space="0" w:color="auto"/>
      </w:divBdr>
    </w:div>
    <w:div w:id="1603225036">
      <w:bodyDiv w:val="1"/>
      <w:marLeft w:val="0"/>
      <w:marRight w:val="0"/>
      <w:marTop w:val="0"/>
      <w:marBottom w:val="0"/>
      <w:divBdr>
        <w:top w:val="none" w:sz="0" w:space="0" w:color="auto"/>
        <w:left w:val="none" w:sz="0" w:space="0" w:color="auto"/>
        <w:bottom w:val="none" w:sz="0" w:space="0" w:color="auto"/>
        <w:right w:val="none" w:sz="0" w:space="0" w:color="auto"/>
      </w:divBdr>
    </w:div>
    <w:div w:id="1604071004">
      <w:bodyDiv w:val="1"/>
      <w:marLeft w:val="0"/>
      <w:marRight w:val="0"/>
      <w:marTop w:val="0"/>
      <w:marBottom w:val="0"/>
      <w:divBdr>
        <w:top w:val="none" w:sz="0" w:space="0" w:color="auto"/>
        <w:left w:val="none" w:sz="0" w:space="0" w:color="auto"/>
        <w:bottom w:val="none" w:sz="0" w:space="0" w:color="auto"/>
        <w:right w:val="none" w:sz="0" w:space="0" w:color="auto"/>
      </w:divBdr>
    </w:div>
    <w:div w:id="1630355400">
      <w:bodyDiv w:val="1"/>
      <w:marLeft w:val="0"/>
      <w:marRight w:val="0"/>
      <w:marTop w:val="0"/>
      <w:marBottom w:val="0"/>
      <w:divBdr>
        <w:top w:val="none" w:sz="0" w:space="0" w:color="auto"/>
        <w:left w:val="none" w:sz="0" w:space="0" w:color="auto"/>
        <w:bottom w:val="none" w:sz="0" w:space="0" w:color="auto"/>
        <w:right w:val="none" w:sz="0" w:space="0" w:color="auto"/>
      </w:divBdr>
    </w:div>
    <w:div w:id="1679775809">
      <w:bodyDiv w:val="1"/>
      <w:marLeft w:val="0"/>
      <w:marRight w:val="0"/>
      <w:marTop w:val="0"/>
      <w:marBottom w:val="0"/>
      <w:divBdr>
        <w:top w:val="none" w:sz="0" w:space="0" w:color="auto"/>
        <w:left w:val="none" w:sz="0" w:space="0" w:color="auto"/>
        <w:bottom w:val="none" w:sz="0" w:space="0" w:color="auto"/>
        <w:right w:val="none" w:sz="0" w:space="0" w:color="auto"/>
      </w:divBdr>
    </w:div>
    <w:div w:id="1692023837">
      <w:bodyDiv w:val="1"/>
      <w:marLeft w:val="0"/>
      <w:marRight w:val="0"/>
      <w:marTop w:val="0"/>
      <w:marBottom w:val="0"/>
      <w:divBdr>
        <w:top w:val="none" w:sz="0" w:space="0" w:color="auto"/>
        <w:left w:val="none" w:sz="0" w:space="0" w:color="auto"/>
        <w:bottom w:val="none" w:sz="0" w:space="0" w:color="auto"/>
        <w:right w:val="none" w:sz="0" w:space="0" w:color="auto"/>
      </w:divBdr>
    </w:div>
    <w:div w:id="1698652343">
      <w:bodyDiv w:val="1"/>
      <w:marLeft w:val="0"/>
      <w:marRight w:val="0"/>
      <w:marTop w:val="0"/>
      <w:marBottom w:val="0"/>
      <w:divBdr>
        <w:top w:val="none" w:sz="0" w:space="0" w:color="auto"/>
        <w:left w:val="none" w:sz="0" w:space="0" w:color="auto"/>
        <w:bottom w:val="none" w:sz="0" w:space="0" w:color="auto"/>
        <w:right w:val="none" w:sz="0" w:space="0" w:color="auto"/>
      </w:divBdr>
    </w:div>
    <w:div w:id="1725133624">
      <w:bodyDiv w:val="1"/>
      <w:marLeft w:val="0"/>
      <w:marRight w:val="0"/>
      <w:marTop w:val="0"/>
      <w:marBottom w:val="0"/>
      <w:divBdr>
        <w:top w:val="none" w:sz="0" w:space="0" w:color="auto"/>
        <w:left w:val="none" w:sz="0" w:space="0" w:color="auto"/>
        <w:bottom w:val="none" w:sz="0" w:space="0" w:color="auto"/>
        <w:right w:val="none" w:sz="0" w:space="0" w:color="auto"/>
      </w:divBdr>
    </w:div>
    <w:div w:id="1760829629">
      <w:bodyDiv w:val="1"/>
      <w:marLeft w:val="0"/>
      <w:marRight w:val="0"/>
      <w:marTop w:val="0"/>
      <w:marBottom w:val="0"/>
      <w:divBdr>
        <w:top w:val="none" w:sz="0" w:space="0" w:color="auto"/>
        <w:left w:val="none" w:sz="0" w:space="0" w:color="auto"/>
        <w:bottom w:val="none" w:sz="0" w:space="0" w:color="auto"/>
        <w:right w:val="none" w:sz="0" w:space="0" w:color="auto"/>
      </w:divBdr>
    </w:div>
    <w:div w:id="1796411796">
      <w:bodyDiv w:val="1"/>
      <w:marLeft w:val="0"/>
      <w:marRight w:val="0"/>
      <w:marTop w:val="0"/>
      <w:marBottom w:val="0"/>
      <w:divBdr>
        <w:top w:val="none" w:sz="0" w:space="0" w:color="auto"/>
        <w:left w:val="none" w:sz="0" w:space="0" w:color="auto"/>
        <w:bottom w:val="none" w:sz="0" w:space="0" w:color="auto"/>
        <w:right w:val="none" w:sz="0" w:space="0" w:color="auto"/>
      </w:divBdr>
    </w:div>
    <w:div w:id="1799488070">
      <w:bodyDiv w:val="1"/>
      <w:marLeft w:val="0"/>
      <w:marRight w:val="0"/>
      <w:marTop w:val="0"/>
      <w:marBottom w:val="0"/>
      <w:divBdr>
        <w:top w:val="none" w:sz="0" w:space="0" w:color="auto"/>
        <w:left w:val="none" w:sz="0" w:space="0" w:color="auto"/>
        <w:bottom w:val="none" w:sz="0" w:space="0" w:color="auto"/>
        <w:right w:val="none" w:sz="0" w:space="0" w:color="auto"/>
      </w:divBdr>
    </w:div>
    <w:div w:id="1806043321">
      <w:bodyDiv w:val="1"/>
      <w:marLeft w:val="0"/>
      <w:marRight w:val="0"/>
      <w:marTop w:val="0"/>
      <w:marBottom w:val="0"/>
      <w:divBdr>
        <w:top w:val="none" w:sz="0" w:space="0" w:color="auto"/>
        <w:left w:val="none" w:sz="0" w:space="0" w:color="auto"/>
        <w:bottom w:val="none" w:sz="0" w:space="0" w:color="auto"/>
        <w:right w:val="none" w:sz="0" w:space="0" w:color="auto"/>
      </w:divBdr>
    </w:div>
    <w:div w:id="1821387028">
      <w:bodyDiv w:val="1"/>
      <w:marLeft w:val="0"/>
      <w:marRight w:val="0"/>
      <w:marTop w:val="0"/>
      <w:marBottom w:val="0"/>
      <w:divBdr>
        <w:top w:val="none" w:sz="0" w:space="0" w:color="auto"/>
        <w:left w:val="none" w:sz="0" w:space="0" w:color="auto"/>
        <w:bottom w:val="none" w:sz="0" w:space="0" w:color="auto"/>
        <w:right w:val="none" w:sz="0" w:space="0" w:color="auto"/>
      </w:divBdr>
    </w:div>
    <w:div w:id="1834293231">
      <w:bodyDiv w:val="1"/>
      <w:marLeft w:val="0"/>
      <w:marRight w:val="0"/>
      <w:marTop w:val="0"/>
      <w:marBottom w:val="0"/>
      <w:divBdr>
        <w:top w:val="none" w:sz="0" w:space="0" w:color="auto"/>
        <w:left w:val="none" w:sz="0" w:space="0" w:color="auto"/>
        <w:bottom w:val="none" w:sz="0" w:space="0" w:color="auto"/>
        <w:right w:val="none" w:sz="0" w:space="0" w:color="auto"/>
      </w:divBdr>
    </w:div>
    <w:div w:id="1837917472">
      <w:bodyDiv w:val="1"/>
      <w:marLeft w:val="0"/>
      <w:marRight w:val="0"/>
      <w:marTop w:val="0"/>
      <w:marBottom w:val="0"/>
      <w:divBdr>
        <w:top w:val="none" w:sz="0" w:space="0" w:color="auto"/>
        <w:left w:val="none" w:sz="0" w:space="0" w:color="auto"/>
        <w:bottom w:val="none" w:sz="0" w:space="0" w:color="auto"/>
        <w:right w:val="none" w:sz="0" w:space="0" w:color="auto"/>
      </w:divBdr>
    </w:div>
    <w:div w:id="1896694373">
      <w:bodyDiv w:val="1"/>
      <w:marLeft w:val="0"/>
      <w:marRight w:val="0"/>
      <w:marTop w:val="0"/>
      <w:marBottom w:val="0"/>
      <w:divBdr>
        <w:top w:val="none" w:sz="0" w:space="0" w:color="auto"/>
        <w:left w:val="none" w:sz="0" w:space="0" w:color="auto"/>
        <w:bottom w:val="none" w:sz="0" w:space="0" w:color="auto"/>
        <w:right w:val="none" w:sz="0" w:space="0" w:color="auto"/>
      </w:divBdr>
    </w:div>
    <w:div w:id="1909027712">
      <w:bodyDiv w:val="1"/>
      <w:marLeft w:val="0"/>
      <w:marRight w:val="0"/>
      <w:marTop w:val="0"/>
      <w:marBottom w:val="0"/>
      <w:divBdr>
        <w:top w:val="none" w:sz="0" w:space="0" w:color="auto"/>
        <w:left w:val="none" w:sz="0" w:space="0" w:color="auto"/>
        <w:bottom w:val="none" w:sz="0" w:space="0" w:color="auto"/>
        <w:right w:val="none" w:sz="0" w:space="0" w:color="auto"/>
      </w:divBdr>
    </w:div>
    <w:div w:id="1922446218">
      <w:bodyDiv w:val="1"/>
      <w:marLeft w:val="0"/>
      <w:marRight w:val="0"/>
      <w:marTop w:val="0"/>
      <w:marBottom w:val="0"/>
      <w:divBdr>
        <w:top w:val="none" w:sz="0" w:space="0" w:color="auto"/>
        <w:left w:val="none" w:sz="0" w:space="0" w:color="auto"/>
        <w:bottom w:val="none" w:sz="0" w:space="0" w:color="auto"/>
        <w:right w:val="none" w:sz="0" w:space="0" w:color="auto"/>
      </w:divBdr>
    </w:div>
    <w:div w:id="1927642686">
      <w:bodyDiv w:val="1"/>
      <w:marLeft w:val="0"/>
      <w:marRight w:val="0"/>
      <w:marTop w:val="0"/>
      <w:marBottom w:val="0"/>
      <w:divBdr>
        <w:top w:val="none" w:sz="0" w:space="0" w:color="auto"/>
        <w:left w:val="none" w:sz="0" w:space="0" w:color="auto"/>
        <w:bottom w:val="none" w:sz="0" w:space="0" w:color="auto"/>
        <w:right w:val="none" w:sz="0" w:space="0" w:color="auto"/>
      </w:divBdr>
    </w:div>
    <w:div w:id="1943101185">
      <w:bodyDiv w:val="1"/>
      <w:marLeft w:val="0"/>
      <w:marRight w:val="0"/>
      <w:marTop w:val="0"/>
      <w:marBottom w:val="0"/>
      <w:divBdr>
        <w:top w:val="none" w:sz="0" w:space="0" w:color="auto"/>
        <w:left w:val="none" w:sz="0" w:space="0" w:color="auto"/>
        <w:bottom w:val="none" w:sz="0" w:space="0" w:color="auto"/>
        <w:right w:val="none" w:sz="0" w:space="0" w:color="auto"/>
      </w:divBdr>
    </w:div>
    <w:div w:id="1961107429">
      <w:bodyDiv w:val="1"/>
      <w:marLeft w:val="0"/>
      <w:marRight w:val="0"/>
      <w:marTop w:val="0"/>
      <w:marBottom w:val="0"/>
      <w:divBdr>
        <w:top w:val="none" w:sz="0" w:space="0" w:color="auto"/>
        <w:left w:val="none" w:sz="0" w:space="0" w:color="auto"/>
        <w:bottom w:val="none" w:sz="0" w:space="0" w:color="auto"/>
        <w:right w:val="none" w:sz="0" w:space="0" w:color="auto"/>
      </w:divBdr>
    </w:div>
    <w:div w:id="1961648017">
      <w:bodyDiv w:val="1"/>
      <w:marLeft w:val="0"/>
      <w:marRight w:val="0"/>
      <w:marTop w:val="0"/>
      <w:marBottom w:val="0"/>
      <w:divBdr>
        <w:top w:val="none" w:sz="0" w:space="0" w:color="auto"/>
        <w:left w:val="none" w:sz="0" w:space="0" w:color="auto"/>
        <w:bottom w:val="none" w:sz="0" w:space="0" w:color="auto"/>
        <w:right w:val="none" w:sz="0" w:space="0" w:color="auto"/>
      </w:divBdr>
    </w:div>
    <w:div w:id="1973976111">
      <w:bodyDiv w:val="1"/>
      <w:marLeft w:val="0"/>
      <w:marRight w:val="0"/>
      <w:marTop w:val="0"/>
      <w:marBottom w:val="0"/>
      <w:divBdr>
        <w:top w:val="none" w:sz="0" w:space="0" w:color="auto"/>
        <w:left w:val="none" w:sz="0" w:space="0" w:color="auto"/>
        <w:bottom w:val="none" w:sz="0" w:space="0" w:color="auto"/>
        <w:right w:val="none" w:sz="0" w:space="0" w:color="auto"/>
      </w:divBdr>
    </w:div>
    <w:div w:id="1981809458">
      <w:bodyDiv w:val="1"/>
      <w:marLeft w:val="0"/>
      <w:marRight w:val="0"/>
      <w:marTop w:val="0"/>
      <w:marBottom w:val="0"/>
      <w:divBdr>
        <w:top w:val="none" w:sz="0" w:space="0" w:color="auto"/>
        <w:left w:val="none" w:sz="0" w:space="0" w:color="auto"/>
        <w:bottom w:val="none" w:sz="0" w:space="0" w:color="auto"/>
        <w:right w:val="none" w:sz="0" w:space="0" w:color="auto"/>
      </w:divBdr>
    </w:div>
    <w:div w:id="1983655902">
      <w:bodyDiv w:val="1"/>
      <w:marLeft w:val="0"/>
      <w:marRight w:val="0"/>
      <w:marTop w:val="0"/>
      <w:marBottom w:val="0"/>
      <w:divBdr>
        <w:top w:val="none" w:sz="0" w:space="0" w:color="auto"/>
        <w:left w:val="none" w:sz="0" w:space="0" w:color="auto"/>
        <w:bottom w:val="none" w:sz="0" w:space="0" w:color="auto"/>
        <w:right w:val="none" w:sz="0" w:space="0" w:color="auto"/>
      </w:divBdr>
    </w:div>
    <w:div w:id="1992951436">
      <w:bodyDiv w:val="1"/>
      <w:marLeft w:val="0"/>
      <w:marRight w:val="0"/>
      <w:marTop w:val="0"/>
      <w:marBottom w:val="0"/>
      <w:divBdr>
        <w:top w:val="none" w:sz="0" w:space="0" w:color="auto"/>
        <w:left w:val="none" w:sz="0" w:space="0" w:color="auto"/>
        <w:bottom w:val="none" w:sz="0" w:space="0" w:color="auto"/>
        <w:right w:val="none" w:sz="0" w:space="0" w:color="auto"/>
      </w:divBdr>
    </w:div>
    <w:div w:id="2020614620">
      <w:bodyDiv w:val="1"/>
      <w:marLeft w:val="0"/>
      <w:marRight w:val="0"/>
      <w:marTop w:val="0"/>
      <w:marBottom w:val="0"/>
      <w:divBdr>
        <w:top w:val="none" w:sz="0" w:space="0" w:color="auto"/>
        <w:left w:val="none" w:sz="0" w:space="0" w:color="auto"/>
        <w:bottom w:val="none" w:sz="0" w:space="0" w:color="auto"/>
        <w:right w:val="none" w:sz="0" w:space="0" w:color="auto"/>
      </w:divBdr>
    </w:div>
    <w:div w:id="2026246698">
      <w:bodyDiv w:val="1"/>
      <w:marLeft w:val="0"/>
      <w:marRight w:val="0"/>
      <w:marTop w:val="0"/>
      <w:marBottom w:val="0"/>
      <w:divBdr>
        <w:top w:val="none" w:sz="0" w:space="0" w:color="auto"/>
        <w:left w:val="none" w:sz="0" w:space="0" w:color="auto"/>
        <w:bottom w:val="none" w:sz="0" w:space="0" w:color="auto"/>
        <w:right w:val="none" w:sz="0" w:space="0" w:color="auto"/>
      </w:divBdr>
    </w:div>
    <w:div w:id="2086683738">
      <w:bodyDiv w:val="1"/>
      <w:marLeft w:val="0"/>
      <w:marRight w:val="0"/>
      <w:marTop w:val="0"/>
      <w:marBottom w:val="0"/>
      <w:divBdr>
        <w:top w:val="none" w:sz="0" w:space="0" w:color="auto"/>
        <w:left w:val="none" w:sz="0" w:space="0" w:color="auto"/>
        <w:bottom w:val="none" w:sz="0" w:space="0" w:color="auto"/>
        <w:right w:val="none" w:sz="0" w:space="0" w:color="auto"/>
      </w:divBdr>
    </w:div>
    <w:div w:id="2087068010">
      <w:bodyDiv w:val="1"/>
      <w:marLeft w:val="0"/>
      <w:marRight w:val="0"/>
      <w:marTop w:val="0"/>
      <w:marBottom w:val="0"/>
      <w:divBdr>
        <w:top w:val="none" w:sz="0" w:space="0" w:color="auto"/>
        <w:left w:val="none" w:sz="0" w:space="0" w:color="auto"/>
        <w:bottom w:val="none" w:sz="0" w:space="0" w:color="auto"/>
        <w:right w:val="none" w:sz="0" w:space="0" w:color="auto"/>
      </w:divBdr>
    </w:div>
    <w:div w:id="2091537334">
      <w:bodyDiv w:val="1"/>
      <w:marLeft w:val="0"/>
      <w:marRight w:val="0"/>
      <w:marTop w:val="0"/>
      <w:marBottom w:val="0"/>
      <w:divBdr>
        <w:top w:val="none" w:sz="0" w:space="0" w:color="auto"/>
        <w:left w:val="none" w:sz="0" w:space="0" w:color="auto"/>
        <w:bottom w:val="none" w:sz="0" w:space="0" w:color="auto"/>
        <w:right w:val="none" w:sz="0" w:space="0" w:color="auto"/>
      </w:divBdr>
    </w:div>
    <w:div w:id="2128620712">
      <w:bodyDiv w:val="1"/>
      <w:marLeft w:val="0"/>
      <w:marRight w:val="0"/>
      <w:marTop w:val="0"/>
      <w:marBottom w:val="0"/>
      <w:divBdr>
        <w:top w:val="none" w:sz="0" w:space="0" w:color="auto"/>
        <w:left w:val="none" w:sz="0" w:space="0" w:color="auto"/>
        <w:bottom w:val="none" w:sz="0" w:space="0" w:color="auto"/>
        <w:right w:val="none" w:sz="0" w:space="0" w:color="auto"/>
      </w:divBdr>
    </w:div>
    <w:div w:id="213647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c2@tpp2.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2" Type="http://schemas.openxmlformats.org/officeDocument/2006/relationships/oleObject" Target="file:///C:\Users\FSO4-user\Desktop\&#1055;&#1072;&#1079;&#1072;&#1088;&#1077;&#1085;%20&#1072;&#1085;&#1072;&#1083;&#1080;&#1079;%2031.12.2023.xlsx"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endParaRPr lang="bg-BG"/>
        </a:p>
      </c:txPr>
    </c:title>
    <c:autoTitleDeleted val="0"/>
    <c:plotArea>
      <c:layout/>
      <c:barChart>
        <c:barDir val="col"/>
        <c:grouping val="clustered"/>
        <c:varyColors val="0"/>
        <c:ser>
          <c:idx val="0"/>
          <c:order val="0"/>
          <c:tx>
            <c:strRef>
              <c:f>Sheet4!$B$3:$C$3</c:f>
              <c:strCache>
                <c:ptCount val="2"/>
                <c:pt idx="0">
                  <c:v>Пазарен сегмент "Ден Напред" - Средна цена базов товар </c:v>
                </c:pt>
                <c:pt idx="1">
                  <c:v>лв./МВтч</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bg-BG"/>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1"/>
                </a:solidFill>
                <a:prstDash val="sysDot"/>
              </a:ln>
              <a:effectLst/>
            </c:spPr>
            <c:trendlineType val="poly"/>
            <c:order val="2"/>
            <c:dispRSqr val="0"/>
            <c:dispEq val="0"/>
          </c:trendline>
          <c:cat>
            <c:numRef>
              <c:f>Sheet4!$D$2:$H$2</c:f>
              <c:numCache>
                <c:formatCode>General</c:formatCode>
                <c:ptCount val="5"/>
                <c:pt idx="0">
                  <c:v>2020</c:v>
                </c:pt>
                <c:pt idx="1">
                  <c:v>2021</c:v>
                </c:pt>
                <c:pt idx="2">
                  <c:v>2022</c:v>
                </c:pt>
                <c:pt idx="3">
                  <c:v>2023</c:v>
                </c:pt>
                <c:pt idx="4">
                  <c:v>2024</c:v>
                </c:pt>
              </c:numCache>
            </c:numRef>
          </c:cat>
          <c:val>
            <c:numRef>
              <c:f>Sheet4!$D$3:$H$3</c:f>
              <c:numCache>
                <c:formatCode>General</c:formatCode>
                <c:ptCount val="5"/>
                <c:pt idx="0">
                  <c:v>76.819999999999993</c:v>
                </c:pt>
                <c:pt idx="1">
                  <c:v>212.6</c:v>
                </c:pt>
                <c:pt idx="2">
                  <c:v>495.28</c:v>
                </c:pt>
                <c:pt idx="3">
                  <c:v>203.1</c:v>
                </c:pt>
                <c:pt idx="4">
                  <c:v>200.58</c:v>
                </c:pt>
              </c:numCache>
            </c:numRef>
          </c:val>
          <c:extLst>
            <c:ext xmlns:c16="http://schemas.microsoft.com/office/drawing/2014/chart" uri="{C3380CC4-5D6E-409C-BE32-E72D297353CC}">
              <c16:uniqueId val="{00000001-91A2-4696-84A2-F6C3298989AC}"/>
            </c:ext>
          </c:extLst>
        </c:ser>
        <c:dLbls>
          <c:showLegendKey val="0"/>
          <c:showVal val="0"/>
          <c:showCatName val="0"/>
          <c:showSerName val="0"/>
          <c:showPercent val="0"/>
          <c:showBubbleSize val="0"/>
        </c:dLbls>
        <c:gapWidth val="219"/>
        <c:overlap val="-27"/>
        <c:axId val="1487940239"/>
        <c:axId val="1487941071"/>
      </c:barChart>
      <c:catAx>
        <c:axId val="148794023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crossAx val="1487941071"/>
        <c:crosses val="autoZero"/>
        <c:auto val="1"/>
        <c:lblAlgn val="ctr"/>
        <c:lblOffset val="100"/>
        <c:noMultiLvlLbl val="0"/>
      </c:catAx>
      <c:valAx>
        <c:axId val="148794107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crossAx val="1487940239"/>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bg-BG"/>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bg-BG" sz="1050"/>
              <a:t>Структура</a:t>
            </a:r>
            <a:r>
              <a:rPr lang="bg-BG" sz="1050" baseline="0"/>
              <a:t> на приходите от основна дейност на ТЕЦ Марица изток 2 </a:t>
            </a:r>
            <a:r>
              <a:rPr lang="en-US" sz="1050" baseline="0"/>
              <a:t>E</a:t>
            </a:r>
            <a:r>
              <a:rPr lang="bg-BG" sz="1050" baseline="0"/>
              <a:t>АД към 3</a:t>
            </a:r>
            <a:r>
              <a:rPr lang="en-US" sz="1050" baseline="0"/>
              <a:t>1</a:t>
            </a:r>
            <a:r>
              <a:rPr lang="bg-BG" sz="1050" baseline="0"/>
              <a:t>.</a:t>
            </a:r>
            <a:r>
              <a:rPr lang="en-US" sz="1050" baseline="0"/>
              <a:t>12</a:t>
            </a:r>
            <a:r>
              <a:rPr lang="bg-BG" sz="1050" baseline="0"/>
              <a:t>.2024 </a:t>
            </a:r>
            <a:endParaRPr lang="en-US" sz="1050"/>
          </a:p>
        </c:rich>
      </c:tx>
      <c:layout>
        <c:manualLayout>
          <c:xMode val="edge"/>
          <c:yMode val="edge"/>
          <c:x val="0.15229250982802409"/>
          <c:y val="1.864802321164968E-2"/>
        </c:manualLayout>
      </c:layout>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2.1567922566380238E-2"/>
          <c:y val="0.21586824412954356"/>
          <c:w val="0.64369541436186462"/>
          <c:h val="0.76859173652741508"/>
        </c:manualLayout>
      </c:layout>
      <c:pie3DChart>
        <c:varyColors val="1"/>
        <c:ser>
          <c:idx val="0"/>
          <c:order val="0"/>
          <c:explosion val="25"/>
          <c:dLbls>
            <c:dLbl>
              <c:idx val="0"/>
              <c:layout>
                <c:manualLayout>
                  <c:x val="6.9174291357910159E-2"/>
                  <c:y val="3.9550205764539582E-2"/>
                </c:manualLayout>
              </c:layout>
              <c:tx>
                <c:rich>
                  <a:bodyPr wrap="square" lIns="38100" tIns="19050" rIns="38100" bIns="19050" anchor="ctr">
                    <a:noAutofit/>
                  </a:bodyPr>
                  <a:lstStyle/>
                  <a:p>
                    <a:pPr>
                      <a:defRPr/>
                    </a:pPr>
                    <a:fld id="{27B585AD-E940-4CF4-9950-05E4460F471E}" type="VALUE">
                      <a:rPr lang="en-US"/>
                      <a:pPr>
                        <a:defRPr/>
                      </a:pPr>
                      <a:t>[VALUE]</a:t>
                    </a:fld>
                    <a:endParaRPr lang="bg-BG"/>
                  </a:p>
                </c:rich>
              </c:tx>
              <c:spPr>
                <a:noFill/>
                <a:ln>
                  <a:noFill/>
                </a:ln>
                <a:effectLst/>
              </c:spPr>
              <c:showLegendKey val="0"/>
              <c:showVal val="0"/>
              <c:showCatName val="0"/>
              <c:showSerName val="0"/>
              <c:showPercent val="1"/>
              <c:showBubbleSize val="0"/>
              <c:extLst>
                <c:ext xmlns:c15="http://schemas.microsoft.com/office/drawing/2012/chart" uri="{CE6537A1-D6FC-4f65-9D91-7224C49458BB}">
                  <c15:layout>
                    <c:manualLayout>
                      <c:w val="0.10973989076107754"/>
                      <c:h val="6.5905344396195609E-2"/>
                    </c:manualLayout>
                  </c15:layout>
                  <c15:dlblFieldTable/>
                  <c15:showDataLabelsRange val="0"/>
                </c:ext>
                <c:ext xmlns:c16="http://schemas.microsoft.com/office/drawing/2014/chart" uri="{C3380CC4-5D6E-409C-BE32-E72D297353CC}">
                  <c16:uniqueId val="{00000000-9581-4086-8263-D2E607E2E2CC}"/>
                </c:ext>
              </c:extLst>
            </c:dLbl>
            <c:dLbl>
              <c:idx val="1"/>
              <c:layout>
                <c:manualLayout>
                  <c:x val="-1.5595962875774548E-2"/>
                  <c:y val="9.5582131571836336E-3"/>
                </c:manualLayout>
              </c:layout>
              <c:tx>
                <c:rich>
                  <a:bodyPr wrap="square" lIns="38100" tIns="19050" rIns="38100" bIns="19050" anchor="ctr">
                    <a:noAutofit/>
                  </a:bodyPr>
                  <a:lstStyle/>
                  <a:p>
                    <a:pPr>
                      <a:defRPr/>
                    </a:pPr>
                    <a:fld id="{86DB8594-0EB4-4D82-8A1A-E779459CB242}" type="VALUE">
                      <a:rPr lang="en-US"/>
                      <a:pPr>
                        <a:defRPr/>
                      </a:pPr>
                      <a:t>[VALUE]</a:t>
                    </a:fld>
                    <a:endParaRPr lang="bg-BG"/>
                  </a:p>
                </c:rich>
              </c:tx>
              <c:spPr>
                <a:noFill/>
                <a:ln>
                  <a:noFill/>
                </a:ln>
                <a:effectLst/>
              </c:spPr>
              <c:showLegendKey val="0"/>
              <c:showVal val="0"/>
              <c:showCatName val="0"/>
              <c:showSerName val="0"/>
              <c:showPercent val="1"/>
              <c:showBubbleSize val="0"/>
              <c:extLst>
                <c:ext xmlns:c15="http://schemas.microsoft.com/office/drawing/2012/chart" uri="{CE6537A1-D6FC-4f65-9D91-7224C49458BB}">
                  <c15:spPr xmlns:c15="http://schemas.microsoft.com/office/drawing/2012/chart">
                    <a:prstGeom prst="rect">
                      <a:avLst/>
                    </a:prstGeom>
                  </c15:spPr>
                  <c15:layout>
                    <c:manualLayout>
                      <c:w val="0.1529406762299042"/>
                      <c:h val="6.9013348264803889E-2"/>
                    </c:manualLayout>
                  </c15:layout>
                  <c15:dlblFieldTable/>
                  <c15:showDataLabelsRange val="0"/>
                </c:ext>
                <c:ext xmlns:c16="http://schemas.microsoft.com/office/drawing/2014/chart" uri="{C3380CC4-5D6E-409C-BE32-E72D297353CC}">
                  <c16:uniqueId val="{00000001-9581-4086-8263-D2E607E2E2CC}"/>
                </c:ext>
              </c:extLst>
            </c:dLbl>
            <c:dLbl>
              <c:idx val="2"/>
              <c:layout>
                <c:manualLayout>
                  <c:x val="-3.3659813141913887E-2"/>
                  <c:y val="-4.0617939691999318E-2"/>
                </c:manualLayout>
              </c:layout>
              <c:tx>
                <c:rich>
                  <a:bodyPr wrap="square" lIns="38100" tIns="19050" rIns="38100" bIns="19050" anchor="ctr">
                    <a:noAutofit/>
                  </a:bodyPr>
                  <a:lstStyle/>
                  <a:p>
                    <a:pPr>
                      <a:defRPr/>
                    </a:pPr>
                    <a:fld id="{D96E008F-99ED-408F-A4FF-E1BE98E91FA6}" type="VALUE">
                      <a:rPr lang="en-US"/>
                      <a:pPr>
                        <a:defRPr/>
                      </a:pPr>
                      <a:t>[VALUE]</a:t>
                    </a:fld>
                    <a:endParaRPr lang="bg-BG"/>
                  </a:p>
                </c:rich>
              </c:tx>
              <c:spPr>
                <a:noFill/>
                <a:ln>
                  <a:noFill/>
                </a:ln>
                <a:effectLst/>
              </c:spPr>
              <c:showLegendKey val="0"/>
              <c:showVal val="0"/>
              <c:showCatName val="0"/>
              <c:showSerName val="0"/>
              <c:showPercent val="1"/>
              <c:showBubbleSize val="0"/>
              <c:extLst>
                <c:ext xmlns:c15="http://schemas.microsoft.com/office/drawing/2012/chart" uri="{CE6537A1-D6FC-4f65-9D91-7224C49458BB}">
                  <c15:layout>
                    <c:manualLayout>
                      <c:w val="0.11916489820215773"/>
                      <c:h val="7.0285672053220768E-2"/>
                    </c:manualLayout>
                  </c15:layout>
                  <c15:dlblFieldTable/>
                  <c15:showDataLabelsRange val="0"/>
                </c:ext>
                <c:ext xmlns:c16="http://schemas.microsoft.com/office/drawing/2014/chart" uri="{C3380CC4-5D6E-409C-BE32-E72D297353CC}">
                  <c16:uniqueId val="{00000002-9581-4086-8263-D2E607E2E2CC}"/>
                </c:ext>
              </c:extLst>
            </c:dLbl>
            <c:dLbl>
              <c:idx val="3"/>
              <c:delete val="1"/>
              <c:extLst>
                <c:ext xmlns:c15="http://schemas.microsoft.com/office/drawing/2012/chart" uri="{CE6537A1-D6FC-4f65-9D91-7224C49458BB}"/>
                <c:ext xmlns:c16="http://schemas.microsoft.com/office/drawing/2014/chart" uri="{C3380CC4-5D6E-409C-BE32-E72D297353CC}">
                  <c16:uniqueId val="{00000003-9581-4086-8263-D2E607E2E2CC}"/>
                </c:ext>
              </c:extLst>
            </c:dLbl>
            <c:dLbl>
              <c:idx val="4"/>
              <c:layout>
                <c:manualLayout>
                  <c:x val="3.1641076115485563E-2"/>
                  <c:y val="-1.6329104695246427E-2"/>
                </c:manualLayout>
              </c:layout>
              <c:tx>
                <c:rich>
                  <a:bodyPr/>
                  <a:lstStyle/>
                  <a:p>
                    <a:fld id="{2C959469-C8C4-497B-8FD3-84FD2AA62AC5}" type="VALUE">
                      <a:rPr lang="en-US"/>
                      <a:pPr/>
                      <a:t>[VALUE]</a:t>
                    </a:fld>
                    <a:endParaRPr lang="bg-BG"/>
                  </a:p>
                </c:rich>
              </c:tx>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4-9581-4086-8263-D2E607E2E2CC}"/>
                </c:ext>
              </c:extLst>
            </c:dLbl>
            <c:spPr>
              <a:noFill/>
              <a:ln>
                <a:noFill/>
              </a:ln>
              <a:effectLst/>
            </c:spPr>
            <c:showLegendKey val="0"/>
            <c:showVal val="0"/>
            <c:showCatName val="0"/>
            <c:showSerName val="0"/>
            <c:showPercent val="1"/>
            <c:showBubbleSize val="0"/>
            <c:showLeaderLines val="0"/>
            <c:extLst>
              <c:ext xmlns:c15="http://schemas.microsoft.com/office/drawing/2012/chart" uri="{CE6537A1-D6FC-4f65-9D91-7224C49458BB}"/>
            </c:extLst>
          </c:dLbls>
          <c:cat>
            <c:strRef>
              <c:f>Sheet1!$C$7:$C$11</c:f>
              <c:strCache>
                <c:ptCount val="5"/>
                <c:pt idx="0">
                  <c:v>Приходи от продажба на допълн.услуги ЕСО</c:v>
                </c:pt>
                <c:pt idx="1">
                  <c:v>Приходи от продажба на  регулиран пазар </c:v>
                </c:pt>
                <c:pt idx="2">
                  <c:v>Приходи от балансиращ пазар</c:v>
                </c:pt>
                <c:pt idx="4">
                  <c:v>Приходи от свободен пазар БНЕБ </c:v>
                </c:pt>
              </c:strCache>
            </c:strRef>
          </c:cat>
          <c:val>
            <c:numRef>
              <c:f>Sheet1!$F$7:$F$11</c:f>
              <c:numCache>
                <c:formatCode>0.00%</c:formatCode>
                <c:ptCount val="5"/>
                <c:pt idx="0">
                  <c:v>9.2969972124272576E-3</c:v>
                </c:pt>
                <c:pt idx="1">
                  <c:v>0.79043352783508813</c:v>
                </c:pt>
                <c:pt idx="2">
                  <c:v>2.7472282675159616E-2</c:v>
                </c:pt>
                <c:pt idx="4">
                  <c:v>0.17279719227732493</c:v>
                </c:pt>
              </c:numCache>
            </c:numRef>
          </c:val>
          <c:extLst>
            <c:ext xmlns:c16="http://schemas.microsoft.com/office/drawing/2014/chart" uri="{C3380CC4-5D6E-409C-BE32-E72D297353CC}">
              <c16:uniqueId val="{00000005-9581-4086-8263-D2E607E2E2CC}"/>
            </c:ext>
          </c:extLst>
        </c:ser>
        <c:dLbls>
          <c:showLegendKey val="0"/>
          <c:showVal val="0"/>
          <c:showCatName val="0"/>
          <c:showSerName val="0"/>
          <c:showPercent val="1"/>
          <c:showBubbleSize val="0"/>
          <c:showLeaderLines val="0"/>
        </c:dLbls>
      </c:pie3DChart>
    </c:plotArea>
    <c:legend>
      <c:legendPos val="r"/>
      <c:legendEntry>
        <c:idx val="3"/>
        <c:delete val="1"/>
      </c:legendEntry>
      <c:layout>
        <c:manualLayout>
          <c:xMode val="edge"/>
          <c:yMode val="edge"/>
          <c:x val="0.68083556565738557"/>
          <c:y val="0.34639730959438347"/>
          <c:w val="0.31916443434261438"/>
          <c:h val="0.37502202522426575"/>
        </c:manualLayout>
      </c:layout>
      <c:overlay val="0"/>
    </c:legend>
    <c:plotVisOnly val="1"/>
    <c:dispBlanksAs val="gap"/>
    <c:showDLblsOverMax val="0"/>
  </c:chart>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402F9E-E25D-4BDB-964E-CF8D1434A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22</Pages>
  <Words>8548</Words>
  <Characters>48725</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Stanimir Genov</cp:lastModifiedBy>
  <cp:revision>26</cp:revision>
  <cp:lastPrinted>2025-03-27T08:20:00Z</cp:lastPrinted>
  <dcterms:created xsi:type="dcterms:W3CDTF">2025-04-03T12:23:00Z</dcterms:created>
  <dcterms:modified xsi:type="dcterms:W3CDTF">2025-04-03T12:52:00Z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-1333220151</vt:i4>
  </property>
</Properties>
</file>